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630" w:right="630" w:firstLine="0"/>
        <w:jc w:val="center"/>
        <w:rPr>
          <w:rFonts w:ascii="Times New Roman" w:hAnsi="Times New Roman" w:eastAsia="Times New Roman" w:cs="Times New Roman"/>
          <w:color w:val="auto"/>
          <w:spacing w:val="0"/>
          <w:position w:val="0"/>
          <w:sz w:val="32"/>
          <w:highlight w:val="non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32"/>
          <w:highlight w:val="non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32"/>
          <w:highlight w:val="none"/>
          <w:shd w:val="clear" w:fill="auto"/>
        </w:rPr>
      </w:pPr>
    </w:p>
    <w:p>
      <w:pPr>
        <w:spacing w:before="0" w:after="0" w:line="240" w:lineRule="auto"/>
        <w:ind w:left="1260" w:right="1260" w:firstLine="0"/>
        <w:jc w:val="center"/>
        <w:rPr>
          <w:rFonts w:ascii="Times New Roman" w:hAnsi="Times New Roman" w:eastAsia="Times New Roman" w:cs="Times New Roman"/>
          <w:color w:val="auto"/>
          <w:spacing w:val="0"/>
          <w:position w:val="0"/>
          <w:sz w:val="48"/>
          <w:highlight w:val="none"/>
          <w:shd w:val="clear" w:fill="auto"/>
        </w:rPr>
      </w:pPr>
      <w:r>
        <w:rPr>
          <w:rFonts w:ascii="宋体" w:hAnsi="宋体" w:eastAsia="宋体" w:cs="宋体"/>
          <w:color w:val="auto"/>
          <w:spacing w:val="0"/>
          <w:position w:val="0"/>
          <w:sz w:val="48"/>
          <w:highlight w:val="none"/>
          <w:shd w:val="clear" w:fill="auto"/>
        </w:rPr>
        <w:t>综合医院建设标准</w:t>
      </w:r>
    </w:p>
    <w:p>
      <w:pPr>
        <w:spacing w:before="0" w:after="0" w:line="240" w:lineRule="auto"/>
        <w:ind w:left="0" w:right="0" w:firstLine="0"/>
        <w:jc w:val="both"/>
        <w:rPr>
          <w:rFonts w:ascii="Times New Roman" w:hAnsi="Times New Roman" w:eastAsia="Times New Roman" w:cs="Times New Roman"/>
          <w:color w:val="auto"/>
          <w:spacing w:val="0"/>
          <w:position w:val="0"/>
          <w:sz w:val="24"/>
          <w:highlight w:val="none"/>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highlight w:val="none"/>
          <w:shd w:val="clear" w:fill="auto"/>
        </w:rPr>
      </w:pPr>
    </w:p>
    <w:p>
      <w:pPr>
        <w:spacing w:before="0" w:after="0" w:line="240" w:lineRule="auto"/>
        <w:ind w:left="0" w:right="0" w:firstLine="0"/>
        <w:jc w:val="both"/>
        <w:rPr>
          <w:rFonts w:ascii="Times New Roman" w:hAnsi="Times New Roman" w:eastAsia="Times New Roman" w:cs="Times New Roman"/>
          <w:color w:val="auto"/>
          <w:spacing w:val="0"/>
          <w:position w:val="0"/>
          <w:sz w:val="24"/>
          <w:highlight w:val="none"/>
          <w:shd w:val="clear" w:fill="auto"/>
        </w:rPr>
      </w:pPr>
    </w:p>
    <w:p>
      <w:pPr>
        <w:spacing w:before="0" w:after="0" w:line="240" w:lineRule="auto"/>
        <w:ind w:left="0" w:right="0" w:firstLine="0"/>
        <w:jc w:val="center"/>
        <w:rPr>
          <w:rFonts w:ascii="Times New Roman" w:hAnsi="Times New Roman" w:eastAsia="Times New Roman" w:cs="Times New Roman"/>
          <w:color w:val="auto"/>
          <w:spacing w:val="0"/>
          <w:position w:val="0"/>
          <w:sz w:val="28"/>
          <w:highlight w:val="none"/>
          <w:shd w:val="clear" w:fill="auto"/>
        </w:rPr>
      </w:pPr>
      <w:r>
        <w:rPr>
          <w:rFonts w:ascii="Times New Roman" w:hAnsi="Times New Roman" w:eastAsia="Times New Roman" w:cs="Times New Roman"/>
          <w:color w:val="auto"/>
          <w:spacing w:val="0"/>
          <w:position w:val="0"/>
          <w:sz w:val="28"/>
          <w:highlight w:val="none"/>
          <w:shd w:val="clear" w:fill="auto"/>
        </w:rPr>
        <w:t xml:space="preserve"> </w:t>
      </w: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1050" w:right="84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auto"/>
          <w:spacing w:val="0"/>
          <w:position w:val="0"/>
          <w:sz w:val="28"/>
          <w:highlight w:val="none"/>
          <w:shd w:val="clear" w:fill="auto"/>
        </w:rPr>
        <w:t>主编部门：中华人民共和国国家卫生健康委员会</w:t>
      </w:r>
    </w:p>
    <w:p>
      <w:pPr>
        <w:spacing w:before="0" w:after="0" w:line="240" w:lineRule="auto"/>
        <w:ind w:left="1050" w:right="84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auto"/>
          <w:spacing w:val="0"/>
          <w:position w:val="0"/>
          <w:sz w:val="28"/>
          <w:highlight w:val="none"/>
          <w:shd w:val="clear" w:fill="auto"/>
        </w:rPr>
        <w:t>批准部门：中华人民共和国住房和城乡建设部</w:t>
      </w:r>
    </w:p>
    <w:p>
      <w:pPr>
        <w:spacing w:before="0" w:after="0" w:line="240" w:lineRule="auto"/>
        <w:ind w:left="1050" w:right="840" w:firstLine="0"/>
        <w:jc w:val="both"/>
        <w:rPr>
          <w:rFonts w:ascii="Times New Roman" w:hAnsi="Times New Roman" w:eastAsia="Times New Roman" w:cs="Times New Roman"/>
          <w:color w:val="auto"/>
          <w:spacing w:val="0"/>
          <w:position w:val="0"/>
          <w:sz w:val="28"/>
          <w:highlight w:val="none"/>
          <w:shd w:val="clear" w:fill="auto"/>
        </w:rPr>
      </w:pPr>
      <w:r>
        <w:rPr>
          <w:rFonts w:ascii="Times New Roman" w:hAnsi="Times New Roman" w:eastAsia="Times New Roman" w:cs="Times New Roman"/>
          <w:color w:val="auto"/>
          <w:spacing w:val="0"/>
          <w:position w:val="0"/>
          <w:sz w:val="28"/>
          <w:highlight w:val="none"/>
          <w:shd w:val="clear" w:fill="auto"/>
        </w:rPr>
        <w:t xml:space="preserve">         </w:t>
      </w:r>
      <w:r>
        <w:rPr>
          <w:rFonts w:hint="eastAsia" w:ascii="Times New Roman" w:hAnsi="Times New Roman" w:eastAsia="宋体" w:cs="Times New Roman"/>
          <w:color w:val="auto"/>
          <w:spacing w:val="0"/>
          <w:position w:val="0"/>
          <w:sz w:val="28"/>
          <w:highlight w:val="none"/>
          <w:shd w:val="clear" w:fill="auto"/>
          <w:lang w:val="en-US" w:eastAsia="zh-CN"/>
        </w:rPr>
        <w:t xml:space="preserve">        </w:t>
      </w:r>
      <w:r>
        <w:rPr>
          <w:rFonts w:ascii="Times New Roman" w:hAnsi="Times New Roman" w:eastAsia="Times New Roman" w:cs="Times New Roman"/>
          <w:color w:val="auto"/>
          <w:spacing w:val="0"/>
          <w:position w:val="0"/>
          <w:sz w:val="28"/>
          <w:highlight w:val="none"/>
          <w:shd w:val="clear" w:fill="auto"/>
        </w:rPr>
        <w:t xml:space="preserve"> </w:t>
      </w:r>
      <w:r>
        <w:rPr>
          <w:rFonts w:hint="eastAsia" w:ascii="Times New Roman" w:hAnsi="Times New Roman" w:eastAsia="宋体" w:cs="Times New Roman"/>
          <w:color w:val="auto"/>
          <w:spacing w:val="0"/>
          <w:position w:val="0"/>
          <w:sz w:val="28"/>
          <w:highlight w:val="none"/>
          <w:shd w:val="clear" w:fill="auto"/>
          <w:lang w:val="en-US" w:eastAsia="zh-CN"/>
        </w:rPr>
        <w:t xml:space="preserve">  </w:t>
      </w:r>
      <w:r>
        <w:rPr>
          <w:rFonts w:ascii="宋体" w:hAnsi="宋体" w:eastAsia="宋体" w:cs="宋体"/>
          <w:color w:val="auto"/>
          <w:spacing w:val="0"/>
          <w:position w:val="0"/>
          <w:sz w:val="28"/>
          <w:highlight w:val="none"/>
          <w:shd w:val="clear" w:fill="auto"/>
        </w:rPr>
        <w:t>中华人民共和国国家发展和改革委员会</w:t>
      </w:r>
    </w:p>
    <w:p>
      <w:pPr>
        <w:spacing w:before="0" w:after="0" w:line="240" w:lineRule="auto"/>
        <w:ind w:right="0"/>
        <w:jc w:val="both"/>
        <w:rPr>
          <w:rFonts w:ascii="Times New Roman" w:hAnsi="Times New Roman" w:eastAsia="Times New Roman" w:cs="Times New Roman"/>
          <w:color w:val="auto"/>
          <w:spacing w:val="0"/>
          <w:position w:val="0"/>
          <w:sz w:val="28"/>
          <w:highlight w:val="none"/>
          <w:shd w:val="clear" w:fill="auto"/>
        </w:rPr>
      </w:pPr>
      <w:r>
        <w:rPr>
          <w:rFonts w:hint="eastAsia" w:ascii="宋体" w:hAnsi="宋体" w:eastAsia="宋体" w:cs="宋体"/>
          <w:color w:val="auto"/>
          <w:spacing w:val="0"/>
          <w:position w:val="0"/>
          <w:sz w:val="28"/>
          <w:highlight w:val="none"/>
          <w:shd w:val="clear" w:fill="auto"/>
          <w:lang w:val="en-US" w:eastAsia="zh-CN"/>
        </w:rPr>
        <w:t xml:space="preserve">       </w:t>
      </w:r>
      <w:r>
        <w:rPr>
          <w:rFonts w:ascii="宋体" w:hAnsi="宋体" w:eastAsia="宋体" w:cs="宋体"/>
          <w:color w:val="auto"/>
          <w:spacing w:val="0"/>
          <w:position w:val="0"/>
          <w:sz w:val="28"/>
          <w:highlight w:val="none"/>
          <w:shd w:val="clear" w:fill="auto"/>
        </w:rPr>
        <w:t>施行日期：</w:t>
      </w:r>
      <w:r>
        <w:rPr>
          <w:rFonts w:ascii="Times New Roman" w:hAnsi="Times New Roman" w:eastAsia="Times New Roman" w:cs="Times New Roman"/>
          <w:color w:val="auto"/>
          <w:spacing w:val="0"/>
          <w:position w:val="0"/>
          <w:sz w:val="28"/>
          <w:highlight w:val="none"/>
          <w:shd w:val="clear" w:fill="auto"/>
        </w:rPr>
        <w:t xml:space="preserve">  </w:t>
      </w:r>
      <w:r>
        <w:rPr>
          <w:rFonts w:ascii="宋体" w:hAnsi="宋体" w:eastAsia="宋体" w:cs="宋体"/>
          <w:color w:val="auto"/>
          <w:spacing w:val="0"/>
          <w:position w:val="0"/>
          <w:sz w:val="28"/>
          <w:highlight w:val="none"/>
          <w:shd w:val="clear" w:fill="auto"/>
        </w:rPr>
        <w:t>年</w:t>
      </w:r>
      <w:r>
        <w:rPr>
          <w:rFonts w:ascii="Times New Roman" w:hAnsi="Times New Roman" w:eastAsia="Times New Roman" w:cs="Times New Roman"/>
          <w:color w:val="auto"/>
          <w:spacing w:val="0"/>
          <w:position w:val="0"/>
          <w:sz w:val="28"/>
          <w:highlight w:val="none"/>
          <w:shd w:val="clear" w:fill="auto"/>
        </w:rPr>
        <w:t xml:space="preserve">  </w:t>
      </w:r>
      <w:r>
        <w:rPr>
          <w:rFonts w:ascii="宋体" w:hAnsi="宋体" w:eastAsia="宋体" w:cs="宋体"/>
          <w:color w:val="auto"/>
          <w:spacing w:val="0"/>
          <w:position w:val="0"/>
          <w:sz w:val="28"/>
          <w:highlight w:val="none"/>
          <w:shd w:val="clear" w:fill="auto"/>
        </w:rPr>
        <w:t>月</w:t>
      </w:r>
      <w:r>
        <w:rPr>
          <w:rFonts w:ascii="Times New Roman" w:hAnsi="Times New Roman" w:eastAsia="Times New Roman" w:cs="Times New Roman"/>
          <w:color w:val="auto"/>
          <w:spacing w:val="0"/>
          <w:position w:val="0"/>
          <w:sz w:val="28"/>
          <w:highlight w:val="none"/>
          <w:shd w:val="clear" w:fill="auto"/>
        </w:rPr>
        <w:t xml:space="preserve">  </w:t>
      </w:r>
      <w:r>
        <w:rPr>
          <w:rFonts w:ascii="宋体" w:hAnsi="宋体" w:eastAsia="宋体" w:cs="宋体"/>
          <w:color w:val="auto"/>
          <w:spacing w:val="0"/>
          <w:position w:val="0"/>
          <w:sz w:val="28"/>
          <w:highlight w:val="none"/>
          <w:shd w:val="clear" w:fill="auto"/>
        </w:rPr>
        <w:t>日</w:t>
      </w: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1680" w:right="0" w:firstLine="0"/>
        <w:jc w:val="both"/>
        <w:rPr>
          <w:rFonts w:ascii="Times New Roman" w:hAnsi="Times New Roman" w:eastAsia="Times New Roman" w:cs="Times New Roman"/>
          <w:color w:val="auto"/>
          <w:spacing w:val="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keepNext/>
        <w:keepLines/>
        <w:spacing w:before="240" w:after="0" w:line="259" w:lineRule="auto"/>
        <w:ind w:left="0" w:right="0" w:firstLine="0"/>
        <w:jc w:val="center"/>
        <w:rPr>
          <w:rFonts w:ascii="Times New Roman" w:hAnsi="Times New Roman" w:eastAsia="Times New Roman" w:cs="Times New Roman"/>
          <w:b/>
          <w:color w:val="000000"/>
          <w:spacing w:val="0"/>
          <w:position w:val="0"/>
          <w:sz w:val="32"/>
          <w:highlight w:val="none"/>
          <w:shd w:val="clear" w:fill="auto"/>
        </w:rPr>
      </w:pPr>
      <w:r>
        <w:rPr>
          <w:rFonts w:ascii="宋体" w:hAnsi="宋体" w:eastAsia="宋体" w:cs="宋体"/>
          <w:b/>
          <w:color w:val="000000"/>
          <w:spacing w:val="0"/>
          <w:position w:val="0"/>
          <w:sz w:val="32"/>
          <w:highlight w:val="none"/>
          <w:shd w:val="clear" w:fill="auto"/>
        </w:rPr>
        <w:t>目</w:t>
      </w:r>
      <w:r>
        <w:rPr>
          <w:rFonts w:ascii="Times New Roman" w:hAnsi="Times New Roman" w:eastAsia="Times New Roman" w:cs="Times New Roman"/>
          <w:b/>
          <w:color w:val="000000"/>
          <w:spacing w:val="0"/>
          <w:position w:val="0"/>
          <w:sz w:val="32"/>
          <w:highlight w:val="none"/>
          <w:shd w:val="clear" w:fill="auto"/>
        </w:rPr>
        <w:t xml:space="preserve">  </w:t>
      </w:r>
      <w:r>
        <w:rPr>
          <w:rFonts w:ascii="宋体" w:hAnsi="宋体" w:eastAsia="宋体" w:cs="宋体"/>
          <w:b/>
          <w:color w:val="000000"/>
          <w:spacing w:val="0"/>
          <w:position w:val="0"/>
          <w:sz w:val="32"/>
          <w:highlight w:val="none"/>
          <w:shd w:val="clear" w:fill="auto"/>
        </w:rPr>
        <w:t>录</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第一章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总</w:t>
      </w:r>
      <w:r>
        <w:rPr>
          <w:rFonts w:ascii="Times New Roman" w:hAnsi="Times New Roman" w:eastAsia="Times New Roman" w:cs="Times New Roman"/>
          <w:color w:val="0563C1"/>
          <w:spacing w:val="0"/>
          <w:position w:val="0"/>
          <w:sz w:val="28"/>
          <w:highlight w:val="none"/>
          <w:u w:val="single"/>
          <w:shd w:val="clear" w:fill="auto"/>
        </w:rPr>
        <w:t xml:space="preserve"> </w:t>
      </w:r>
      <w:r>
        <w:rPr>
          <w:rFonts w:ascii="宋体" w:hAnsi="宋体" w:eastAsia="宋体" w:cs="宋体"/>
          <w:color w:val="0563C1"/>
          <w:spacing w:val="0"/>
          <w:position w:val="0"/>
          <w:sz w:val="28"/>
          <w:highlight w:val="none"/>
          <w:u w:val="single"/>
          <w:shd w:val="clear" w:fill="auto"/>
        </w:rPr>
        <w:t>则</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1</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第二章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建设规模与项目构成</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2</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第三章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选址与规划布局</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3</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第四章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建筑面积指标</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4</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第五章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建筑与建筑设备</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6</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第六章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医疗设备</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9</w:t>
      </w:r>
    </w:p>
    <w:p>
      <w:pPr>
        <w:tabs>
          <w:tab w:val="left" w:pos="1050"/>
          <w:tab w:val="right" w:leader="dot" w:pos="8296"/>
        </w:tabs>
        <w:spacing w:before="0"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宋体" w:hAnsi="宋体" w:eastAsia="宋体" w:cs="宋体"/>
          <w:color w:val="0563C1"/>
          <w:spacing w:val="0"/>
          <w:position w:val="0"/>
          <w:sz w:val="28"/>
          <w:highlight w:val="none"/>
          <w:u w:val="single"/>
          <w:shd w:val="clear" w:fill="auto"/>
        </w:rPr>
        <w:t>第七章</w:t>
      </w:r>
      <w:r>
        <w:rPr>
          <w:rFonts w:ascii="Times New Roman" w:hAnsi="Times New Roman" w:eastAsia="Times New Roman" w:cs="Times New Roman"/>
          <w:color w:val="auto"/>
          <w:spacing w:val="0"/>
          <w:position w:val="0"/>
          <w:sz w:val="28"/>
          <w:highlight w:val="none"/>
          <w:shd w:val="clear" w:fill="auto"/>
        </w:rPr>
        <w:tab/>
      </w:r>
      <w:r>
        <w:rPr>
          <w:rFonts w:ascii="宋体" w:hAnsi="宋体" w:eastAsia="宋体" w:cs="宋体"/>
          <w:color w:val="0563C1"/>
          <w:spacing w:val="0"/>
          <w:position w:val="0"/>
          <w:sz w:val="28"/>
          <w:highlight w:val="none"/>
          <w:u w:val="single"/>
          <w:shd w:val="clear" w:fill="auto"/>
        </w:rPr>
        <w:t>相关指标</w:t>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10</w:t>
      </w: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第一章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总</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则</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第一条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为推进健康中国建设，规范综合医院建设，提高综合医院建设项目决策和工程建设管理水平，合理确定建设规模，满足综合医院功能需要，充分发挥投资效益，提高医疗服务能力，制定本建设标准。</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本建设标准是综合医院建设项目科学决策、合理确定建设水平服务的全国统一标准，是编制、评估，以及审批、核准综合医院工程的项目建议书、可行性研究报告的重要依据，是审查项目工程设计及监督检查工程建设全过程的重要尺度。</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本建设标准适用于综合医院新建、改建、扩建工程项目。</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综合医院的建设，必须遵守国家有关经济建设的法律、法规和卫生健康事业发展政策，与经济社会发展水平相适应，正确处理需要与可能、现状与发展的关系，做到规模适宜、装备适度、安全环保、经济适用。</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第五条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应坚持以人民为中心的原则，在满足各项功能需要的同时，注重改善患者的就医环境和医护人员的工作条件。充分考虑使用人群的生理特点及心理需求，打造适宜空间环境，做到功能完善、布局合理、流程科学、环境温馨，管理智慧。</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第六条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综合医院的建设，应符合所在地区城镇总体规划、区域卫生规划和医疗机构设置规划的要求，充分利用现有卫生资源和基础设施条件，避免重复建设。</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第七条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新建综合医院，应结合当地卫生事业发展规划和实际需求，从项目全生命周期的运行和投资效益出发，切实做好项目论证等前期工作。</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第八条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综合医院的建设，应结合医院事业发展规划制定总体发展建设规划，经批准后，根据实际需要和投资可能，一次或分期实施。</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第九条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综合医院的建设，除执行本建设标准外，尚应符合国家现行的有关标准、规范和定额、指标的规定。</w:t>
      </w:r>
    </w:p>
    <w:p>
      <w:pPr>
        <w:tabs>
          <w:tab w:val="left" w:pos="1735"/>
        </w:tabs>
        <w:spacing w:before="156" w:after="0" w:line="360" w:lineRule="auto"/>
        <w:ind w:left="0" w:right="0" w:firstLine="0"/>
        <w:jc w:val="both"/>
        <w:rPr>
          <w:rFonts w:ascii="Times New Roman" w:hAnsi="Times New Roman" w:eastAsia="Times New Roman" w:cs="Times New Roman"/>
          <w:b/>
          <w:color w:val="auto"/>
          <w:spacing w:val="0"/>
          <w:position w:val="0"/>
          <w:sz w:val="28"/>
          <w:highlight w:val="none"/>
          <w:shd w:val="clear" w:fill="auto"/>
        </w:rPr>
      </w:pPr>
      <w:r>
        <w:rPr>
          <w:rFonts w:ascii="Times New Roman" w:hAnsi="Times New Roman" w:eastAsia="Times New Roman" w:cs="Times New Roman"/>
          <w:b/>
          <w:color w:val="auto"/>
          <w:spacing w:val="0"/>
          <w:position w:val="0"/>
          <w:sz w:val="28"/>
          <w:highlight w:val="none"/>
          <w:shd w:val="clear" w:fill="auto"/>
        </w:rPr>
        <w:t xml:space="preserve"> </w:t>
      </w: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第二章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建设规模与项目构成</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新建综合医院的建设规模，应根据当地城市总体规划、区域卫生规划、医疗机构设置规划、</w:t>
      </w:r>
      <w:r>
        <w:rPr>
          <w:rFonts w:ascii="宋体" w:hAnsi="宋体" w:eastAsia="宋体" w:cs="宋体"/>
          <w:color w:val="000000"/>
          <w:spacing w:val="0"/>
          <w:position w:val="0"/>
          <w:sz w:val="24"/>
          <w:highlight w:val="none"/>
          <w:shd w:val="clear" w:fill="auto"/>
        </w:rPr>
        <w:t>服务人口数量、</w:t>
      </w:r>
      <w:r>
        <w:rPr>
          <w:rFonts w:ascii="宋体" w:hAnsi="宋体" w:eastAsia="宋体" w:cs="宋体"/>
          <w:color w:val="auto"/>
          <w:spacing w:val="0"/>
          <w:position w:val="0"/>
          <w:sz w:val="24"/>
          <w:highlight w:val="none"/>
          <w:shd w:val="clear" w:fill="auto"/>
        </w:rPr>
        <w:t>经济发展水平、疾病谱和发病率、卫生资源和医疗保健服务的需求状况进行综合平衡后确定。</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第十一条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综合医院的建设规模，按病床数量分为</w:t>
      </w:r>
      <w:r>
        <w:rPr>
          <w:rFonts w:ascii="Times New Roman" w:hAnsi="Times New Roman" w:eastAsia="Times New Roman" w:cs="Times New Roman"/>
          <w:color w:val="auto"/>
          <w:spacing w:val="0"/>
          <w:position w:val="0"/>
          <w:sz w:val="24"/>
          <w:highlight w:val="none"/>
          <w:shd w:val="clear" w:fill="auto"/>
        </w:rPr>
        <w:t>200</w:t>
      </w:r>
      <w:r>
        <w:rPr>
          <w:rFonts w:ascii="宋体" w:hAnsi="宋体" w:eastAsia="宋体" w:cs="宋体"/>
          <w:color w:val="auto"/>
          <w:spacing w:val="0"/>
          <w:position w:val="0"/>
          <w:sz w:val="24"/>
          <w:highlight w:val="none"/>
          <w:shd w:val="clear" w:fill="auto"/>
        </w:rPr>
        <w:t>张床以下、</w:t>
      </w:r>
      <w:r>
        <w:rPr>
          <w:rFonts w:ascii="Times New Roman" w:hAnsi="Times New Roman" w:eastAsia="Times New Roman" w:cs="Times New Roman"/>
          <w:color w:val="auto"/>
          <w:spacing w:val="0"/>
          <w:position w:val="0"/>
          <w:sz w:val="24"/>
          <w:highlight w:val="none"/>
          <w:shd w:val="clear" w:fill="auto"/>
        </w:rPr>
        <w:t>200</w:t>
      </w:r>
      <w:r>
        <w:rPr>
          <w:rFonts w:ascii="宋体" w:hAnsi="宋体" w:eastAsia="宋体" w:cs="宋体"/>
          <w:color w:val="auto"/>
          <w:spacing w:val="0"/>
          <w:position w:val="0"/>
          <w:sz w:val="24"/>
          <w:highlight w:val="none"/>
          <w:shd w:val="clear" w:fill="auto"/>
        </w:rPr>
        <w:t>～</w:t>
      </w:r>
      <w:r>
        <w:rPr>
          <w:rFonts w:ascii="Times New Roman" w:hAnsi="Times New Roman" w:eastAsia="Times New Roman" w:cs="Times New Roman"/>
          <w:color w:val="auto"/>
          <w:spacing w:val="0"/>
          <w:position w:val="0"/>
          <w:sz w:val="24"/>
          <w:highlight w:val="none"/>
          <w:shd w:val="clear" w:fill="auto"/>
        </w:rPr>
        <w:t>399</w:t>
      </w:r>
      <w:r>
        <w:rPr>
          <w:rFonts w:ascii="宋体" w:hAnsi="宋体" w:eastAsia="宋体" w:cs="宋体"/>
          <w:color w:val="auto"/>
          <w:spacing w:val="0"/>
          <w:position w:val="0"/>
          <w:sz w:val="24"/>
          <w:highlight w:val="none"/>
          <w:shd w:val="clear" w:fill="auto"/>
        </w:rPr>
        <w:t>床、</w:t>
      </w:r>
      <w:r>
        <w:rPr>
          <w:rFonts w:ascii="Times New Roman" w:hAnsi="Times New Roman" w:eastAsia="Times New Roman" w:cs="Times New Roman"/>
          <w:color w:val="auto"/>
          <w:spacing w:val="0"/>
          <w:position w:val="0"/>
          <w:sz w:val="24"/>
          <w:highlight w:val="none"/>
          <w:shd w:val="clear" w:fill="auto"/>
        </w:rPr>
        <w:t>400</w:t>
      </w:r>
      <w:r>
        <w:rPr>
          <w:rFonts w:ascii="宋体" w:hAnsi="宋体" w:eastAsia="宋体" w:cs="宋体"/>
          <w:color w:val="auto"/>
          <w:spacing w:val="0"/>
          <w:position w:val="0"/>
          <w:sz w:val="24"/>
          <w:highlight w:val="none"/>
          <w:shd w:val="clear" w:fill="auto"/>
        </w:rPr>
        <w:t>～</w:t>
      </w:r>
      <w:r>
        <w:rPr>
          <w:rFonts w:ascii="Times New Roman" w:hAnsi="Times New Roman" w:eastAsia="Times New Roman" w:cs="Times New Roman"/>
          <w:color w:val="auto"/>
          <w:spacing w:val="0"/>
          <w:position w:val="0"/>
          <w:sz w:val="24"/>
          <w:highlight w:val="none"/>
          <w:shd w:val="clear" w:fill="auto"/>
        </w:rPr>
        <w:t>599</w:t>
      </w:r>
      <w:r>
        <w:rPr>
          <w:rFonts w:ascii="宋体" w:hAnsi="宋体" w:eastAsia="宋体" w:cs="宋体"/>
          <w:color w:val="auto"/>
          <w:spacing w:val="0"/>
          <w:position w:val="0"/>
          <w:sz w:val="24"/>
          <w:highlight w:val="none"/>
          <w:shd w:val="clear" w:fill="auto"/>
        </w:rPr>
        <w:t>床、</w:t>
      </w:r>
      <w:r>
        <w:rPr>
          <w:rFonts w:ascii="Times New Roman" w:hAnsi="Times New Roman" w:eastAsia="Times New Roman" w:cs="Times New Roman"/>
          <w:color w:val="auto"/>
          <w:spacing w:val="0"/>
          <w:position w:val="0"/>
          <w:sz w:val="24"/>
          <w:highlight w:val="none"/>
          <w:shd w:val="clear" w:fill="auto"/>
        </w:rPr>
        <w:t>600</w:t>
      </w:r>
      <w:r>
        <w:rPr>
          <w:rFonts w:ascii="宋体" w:hAnsi="宋体" w:eastAsia="宋体" w:cs="宋体"/>
          <w:color w:val="auto"/>
          <w:spacing w:val="0"/>
          <w:position w:val="0"/>
          <w:sz w:val="24"/>
          <w:highlight w:val="none"/>
          <w:shd w:val="clear" w:fill="auto"/>
        </w:rPr>
        <w:t>～</w:t>
      </w:r>
      <w:r>
        <w:rPr>
          <w:rFonts w:ascii="Times New Roman" w:hAnsi="Times New Roman" w:eastAsia="Times New Roman" w:cs="Times New Roman"/>
          <w:color w:val="auto"/>
          <w:spacing w:val="0"/>
          <w:position w:val="0"/>
          <w:sz w:val="24"/>
          <w:highlight w:val="none"/>
          <w:shd w:val="clear" w:fill="auto"/>
        </w:rPr>
        <w:t>899</w:t>
      </w:r>
      <w:r>
        <w:rPr>
          <w:rFonts w:ascii="宋体" w:hAnsi="宋体" w:eastAsia="宋体" w:cs="宋体"/>
          <w:color w:val="auto"/>
          <w:spacing w:val="0"/>
          <w:position w:val="0"/>
          <w:sz w:val="24"/>
          <w:highlight w:val="none"/>
          <w:shd w:val="clear" w:fill="auto"/>
        </w:rPr>
        <w:t>床、</w:t>
      </w:r>
      <w:r>
        <w:rPr>
          <w:rFonts w:ascii="Times New Roman" w:hAnsi="Times New Roman" w:eastAsia="Times New Roman" w:cs="Times New Roman"/>
          <w:color w:val="auto"/>
          <w:spacing w:val="0"/>
          <w:position w:val="0"/>
          <w:sz w:val="24"/>
          <w:highlight w:val="none"/>
          <w:shd w:val="clear" w:fill="auto"/>
        </w:rPr>
        <w:t>900</w:t>
      </w:r>
      <w:r>
        <w:rPr>
          <w:rFonts w:ascii="宋体" w:hAnsi="宋体" w:eastAsia="宋体" w:cs="宋体"/>
          <w:color w:val="auto"/>
          <w:spacing w:val="0"/>
          <w:position w:val="0"/>
          <w:sz w:val="24"/>
          <w:highlight w:val="none"/>
          <w:shd w:val="clear" w:fill="auto"/>
        </w:rPr>
        <w:t>～</w:t>
      </w:r>
      <w:r>
        <w:rPr>
          <w:rFonts w:ascii="Times New Roman" w:hAnsi="Times New Roman" w:eastAsia="Times New Roman" w:cs="Times New Roman"/>
          <w:color w:val="auto"/>
          <w:spacing w:val="0"/>
          <w:position w:val="0"/>
          <w:sz w:val="24"/>
          <w:highlight w:val="none"/>
          <w:shd w:val="clear" w:fill="auto"/>
        </w:rPr>
        <w:t>1199</w:t>
      </w:r>
      <w:r>
        <w:rPr>
          <w:rFonts w:ascii="宋体" w:hAnsi="宋体" w:eastAsia="宋体" w:cs="宋体"/>
          <w:color w:val="auto"/>
          <w:spacing w:val="0"/>
          <w:position w:val="0"/>
          <w:sz w:val="24"/>
          <w:highlight w:val="none"/>
          <w:shd w:val="clear" w:fill="auto"/>
        </w:rPr>
        <w:t>床、</w:t>
      </w:r>
      <w:r>
        <w:rPr>
          <w:rFonts w:ascii="Times New Roman" w:hAnsi="Times New Roman" w:eastAsia="Times New Roman" w:cs="Times New Roman"/>
          <w:color w:val="auto"/>
          <w:spacing w:val="0"/>
          <w:position w:val="0"/>
          <w:sz w:val="24"/>
          <w:highlight w:val="none"/>
          <w:shd w:val="clear" w:fill="auto"/>
        </w:rPr>
        <w:t>1200</w:t>
      </w:r>
      <w:r>
        <w:rPr>
          <w:rFonts w:ascii="宋体" w:hAnsi="宋体" w:eastAsia="宋体" w:cs="宋体"/>
          <w:color w:val="auto"/>
          <w:spacing w:val="0"/>
          <w:position w:val="0"/>
          <w:sz w:val="24"/>
          <w:highlight w:val="none"/>
          <w:shd w:val="clear" w:fill="auto"/>
        </w:rPr>
        <w:t>～</w:t>
      </w:r>
      <w:r>
        <w:rPr>
          <w:rFonts w:ascii="Times New Roman" w:hAnsi="Times New Roman" w:eastAsia="Times New Roman" w:cs="Times New Roman"/>
          <w:color w:val="auto"/>
          <w:spacing w:val="0"/>
          <w:position w:val="0"/>
          <w:sz w:val="24"/>
          <w:highlight w:val="none"/>
          <w:shd w:val="clear" w:fill="auto"/>
        </w:rPr>
        <w:t>1500</w:t>
      </w:r>
      <w:r>
        <w:rPr>
          <w:rFonts w:ascii="宋体" w:hAnsi="宋体" w:eastAsia="宋体" w:cs="宋体"/>
          <w:color w:val="auto"/>
          <w:spacing w:val="0"/>
          <w:position w:val="0"/>
          <w:sz w:val="24"/>
          <w:highlight w:val="none"/>
          <w:shd w:val="clear" w:fill="auto"/>
        </w:rPr>
        <w:t>床及以上</w:t>
      </w:r>
      <w:r>
        <w:rPr>
          <w:rFonts w:ascii="Times New Roman" w:hAnsi="Times New Roman" w:eastAsia="Times New Roman" w:cs="Times New Roman"/>
          <w:color w:val="auto"/>
          <w:spacing w:val="0"/>
          <w:position w:val="0"/>
          <w:sz w:val="24"/>
          <w:highlight w:val="none"/>
          <w:shd w:val="clear" w:fill="auto"/>
        </w:rPr>
        <w:t>6</w:t>
      </w:r>
      <w:r>
        <w:rPr>
          <w:rFonts w:ascii="宋体" w:hAnsi="宋体" w:eastAsia="宋体" w:cs="宋体"/>
          <w:color w:val="auto"/>
          <w:spacing w:val="0"/>
          <w:position w:val="0"/>
          <w:sz w:val="24"/>
          <w:highlight w:val="none"/>
          <w:shd w:val="clear" w:fill="auto"/>
        </w:rPr>
        <w:t>个级别。</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第十二条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综合医院的日门（急）诊量与编制床位数的比值宜为</w:t>
      </w:r>
      <w:r>
        <w:rPr>
          <w:rFonts w:ascii="Times New Roman" w:hAnsi="Times New Roman" w:eastAsia="Times New Roman" w:cs="Times New Roman"/>
          <w:color w:val="auto"/>
          <w:spacing w:val="0"/>
          <w:position w:val="0"/>
          <w:sz w:val="24"/>
          <w:highlight w:val="none"/>
          <w:shd w:val="clear" w:fill="auto"/>
        </w:rPr>
        <w:t>3:1</w:t>
      </w:r>
      <w:r>
        <w:rPr>
          <w:rFonts w:ascii="宋体" w:hAnsi="宋体" w:eastAsia="宋体" w:cs="宋体"/>
          <w:color w:val="auto"/>
          <w:spacing w:val="0"/>
          <w:position w:val="0"/>
          <w:sz w:val="24"/>
          <w:highlight w:val="none"/>
          <w:shd w:val="clear" w:fill="auto"/>
        </w:rPr>
        <w:t>，也可按本地区相同规模医院前三年日门（急）诊量统计的平均数确定。</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第十三条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建设项目，由场地、房屋建筑、建筑设备和医疗设备组成。场地包括建设用地、道路、绿地、室外活动场地和停车场等。房屋建筑主要包括急诊、门诊、住院、医技科室、保障系统、行政管理和院内生活用房等。建筑设备包括电梯、物流、暖通空调设备、给排水设备、电气设备、通讯设备、智能化设备、动力设备、燃气设备等。</w:t>
      </w:r>
    </w:p>
    <w:p>
      <w:pPr>
        <w:tabs>
          <w:tab w:val="left" w:pos="1735"/>
        </w:tabs>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承担预防保健、医学科研和教学任务的综合医院，还应包括相应预防保健、科研和教学设施。</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第十四条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正电子发射型磁共振成像系统、直线加速器等大型医疗设备等设施，应按照地区卫生事业发展规划，根据医院技术水平和实际需要合理设置，用房面积单独计算。</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第十五条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综合医院配套设施的建设应坚持专业化协作和社会化服务的原则，充分利用城镇公共设施。</w:t>
      </w:r>
    </w:p>
    <w:p>
      <w:pPr>
        <w:spacing w:before="156" w:after="0" w:line="300" w:lineRule="auto"/>
        <w:ind w:left="0" w:right="0" w:firstLine="0"/>
        <w:jc w:val="both"/>
        <w:rPr>
          <w:rFonts w:ascii="Times New Roman" w:hAnsi="Times New Roman" w:eastAsia="Times New Roman" w:cs="Times New Roman"/>
          <w:b/>
          <w:color w:val="auto"/>
          <w:spacing w:val="0"/>
          <w:position w:val="0"/>
          <w:sz w:val="24"/>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r>
        <w:rPr>
          <w:rFonts w:ascii="Times New Roman" w:hAnsi="Times New Roman" w:eastAsia="Times New Roman" w:cs="Times New Roman"/>
          <w:b/>
          <w:color w:val="auto"/>
          <w:spacing w:val="0"/>
          <w:position w:val="0"/>
          <w:sz w:val="28"/>
          <w:highlight w:val="none"/>
          <w:shd w:val="clear" w:fill="auto"/>
        </w:rPr>
        <w:t xml:space="preserve"> </w:t>
      </w:r>
    </w:p>
    <w:p>
      <w:pPr>
        <w:spacing w:before="0" w:after="0" w:line="240" w:lineRule="auto"/>
        <w:ind w:left="0" w:right="0" w:firstLine="0"/>
        <w:jc w:val="left"/>
        <w:rPr>
          <w:rFonts w:ascii="Times New Roman" w:hAnsi="Times New Roman" w:eastAsia="Times New Roman" w:cs="Times New Roman"/>
          <w:b/>
          <w:color w:val="auto"/>
          <w:spacing w:val="0"/>
          <w:position w:val="0"/>
          <w:sz w:val="28"/>
          <w:highlight w:val="none"/>
          <w:shd w:val="clear" w:fill="auto"/>
        </w:rPr>
      </w:pPr>
    </w:p>
    <w:p>
      <w:pPr>
        <w:spacing w:before="312" w:after="156"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156"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第三章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选址与规划布局</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第十六条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综合医院的选址应满足医院功能与医疗环境的特殊要求，建设基地应满足下列要求：</w:t>
      </w:r>
    </w:p>
    <w:p>
      <w:pPr>
        <w:tabs>
          <w:tab w:val="left" w:pos="142"/>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一、地形规整，工程地质和水文地质条件较好。</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000000"/>
          <w:spacing w:val="0"/>
          <w:position w:val="0"/>
          <w:sz w:val="24"/>
          <w:highlight w:val="none"/>
          <w:shd w:val="clear" w:fill="auto"/>
        </w:rPr>
        <w:t>二、市政基础设施完善，交通便利，宜临两条以上城市道路。</w:t>
      </w:r>
    </w:p>
    <w:p>
      <w:pPr>
        <w:tabs>
          <w:tab w:val="left" w:pos="142"/>
        </w:tabs>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000000"/>
          <w:spacing w:val="0"/>
          <w:position w:val="0"/>
          <w:sz w:val="24"/>
          <w:highlight w:val="none"/>
          <w:shd w:val="clear" w:fill="auto"/>
        </w:rPr>
        <w:t>三、环</w:t>
      </w:r>
      <w:r>
        <w:rPr>
          <w:rFonts w:ascii="宋体" w:hAnsi="宋体" w:eastAsia="宋体" w:cs="宋体"/>
          <w:color w:val="auto"/>
          <w:spacing w:val="0"/>
          <w:position w:val="0"/>
          <w:sz w:val="24"/>
          <w:highlight w:val="none"/>
          <w:shd w:val="clear" w:fill="auto"/>
        </w:rPr>
        <w:t>境安静，远离污染源。</w:t>
      </w:r>
    </w:p>
    <w:p>
      <w:pPr>
        <w:tabs>
          <w:tab w:val="left" w:pos="142"/>
        </w:tabs>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四、应远离易燃、易爆物品的生产和储存区、高压线路及其设施。</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第十七条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综合医院的规划布局与平面布置，应符合下列规定：</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一、建筑布局科学、功能分区合理。</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二、应急救援路线合理，</w:t>
      </w:r>
      <w:r>
        <w:rPr>
          <w:rFonts w:ascii="宋体" w:hAnsi="宋体" w:eastAsia="宋体" w:cs="宋体"/>
          <w:color w:val="000000"/>
          <w:spacing w:val="0"/>
          <w:position w:val="0"/>
          <w:sz w:val="24"/>
          <w:highlight w:val="none"/>
          <w:shd w:val="clear" w:fill="auto"/>
        </w:rPr>
        <w:t>洁污、医患、人车等流线组织清晰，</w:t>
      </w:r>
      <w:r>
        <w:rPr>
          <w:rFonts w:ascii="宋体" w:hAnsi="宋体" w:eastAsia="宋体" w:cs="宋体"/>
          <w:color w:val="auto"/>
          <w:spacing w:val="0"/>
          <w:position w:val="0"/>
          <w:sz w:val="24"/>
          <w:highlight w:val="none"/>
          <w:shd w:val="clear" w:fill="auto"/>
        </w:rPr>
        <w:t>避免交叉感染。</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三、</w:t>
      </w:r>
      <w:r>
        <w:rPr>
          <w:rFonts w:ascii="宋体" w:hAnsi="宋体" w:eastAsia="宋体" w:cs="宋体"/>
          <w:color w:val="000000"/>
          <w:spacing w:val="0"/>
          <w:position w:val="0"/>
          <w:sz w:val="24"/>
          <w:highlight w:val="none"/>
          <w:shd w:val="clear" w:fill="auto"/>
        </w:rPr>
        <w:t>应充分利用地形地貌，合理组织院区建筑空间，在满足使用功能和安全卫生要求的前</w:t>
      </w:r>
      <w:r>
        <w:rPr>
          <w:rFonts w:ascii="宋体" w:hAnsi="宋体" w:eastAsia="宋体" w:cs="宋体"/>
          <w:color w:val="auto"/>
          <w:spacing w:val="0"/>
          <w:position w:val="0"/>
          <w:sz w:val="24"/>
          <w:highlight w:val="none"/>
          <w:shd w:val="clear" w:fill="auto"/>
        </w:rPr>
        <w:t>提下，建筑宜相对集中布</w:t>
      </w:r>
      <w:r>
        <w:rPr>
          <w:rFonts w:ascii="宋体" w:hAnsi="宋体" w:eastAsia="宋体" w:cs="宋体"/>
          <w:color w:val="000000"/>
          <w:spacing w:val="0"/>
          <w:position w:val="0"/>
          <w:sz w:val="24"/>
          <w:highlight w:val="none"/>
          <w:shd w:val="clear" w:fill="auto"/>
        </w:rPr>
        <w:t>置</w:t>
      </w:r>
      <w:r>
        <w:rPr>
          <w:rFonts w:ascii="宋体" w:hAnsi="宋体" w:eastAsia="宋体" w:cs="宋体"/>
          <w:color w:val="auto"/>
          <w:spacing w:val="0"/>
          <w:position w:val="0"/>
          <w:sz w:val="24"/>
          <w:highlight w:val="none"/>
          <w:shd w:val="clear" w:fill="auto"/>
        </w:rPr>
        <w:t>，并适当考虑未来发展。</w:t>
      </w:r>
    </w:p>
    <w:p>
      <w:pPr>
        <w:tabs>
          <w:tab w:val="left" w:pos="142"/>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四、根据当地气候条件，合理确定建筑物的朝向，充分利用自然通风与自然采光，</w:t>
      </w:r>
      <w:r>
        <w:rPr>
          <w:rFonts w:ascii="宋体" w:hAnsi="宋体" w:eastAsia="宋体" w:cs="宋体"/>
          <w:color w:val="auto"/>
          <w:spacing w:val="0"/>
          <w:position w:val="0"/>
          <w:sz w:val="24"/>
          <w:highlight w:val="none"/>
          <w:shd w:val="clear" w:fill="auto"/>
        </w:rPr>
        <w:t>病房和医务人员工作用房宜获得良好朝向</w:t>
      </w:r>
      <w:r>
        <w:rPr>
          <w:rFonts w:ascii="宋体" w:hAnsi="宋体" w:eastAsia="宋体" w:cs="宋体"/>
          <w:color w:val="000000"/>
          <w:spacing w:val="0"/>
          <w:position w:val="0"/>
          <w:sz w:val="24"/>
          <w:highlight w:val="none"/>
          <w:shd w:val="clear" w:fill="auto"/>
        </w:rPr>
        <w:t>。</w:t>
      </w:r>
    </w:p>
    <w:p>
      <w:pPr>
        <w:tabs>
          <w:tab w:val="left" w:pos="142"/>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五、污水处理站及垃圾收集暂存用房宜远离功能用房，并宜布置在院区夏季主</w:t>
      </w:r>
      <w:r>
        <w:rPr>
          <w:rFonts w:ascii="宋体" w:hAnsi="宋体" w:eastAsia="宋体" w:cs="宋体"/>
          <w:color w:val="000000"/>
          <w:spacing w:val="0"/>
          <w:position w:val="0"/>
          <w:sz w:val="24"/>
          <w:highlight w:val="none"/>
          <w:shd w:val="clear" w:fill="auto"/>
        </w:rPr>
        <w:t>导风下风向。</w:t>
      </w:r>
    </w:p>
    <w:p>
      <w:pPr>
        <w:tabs>
          <w:tab w:val="left" w:pos="142"/>
        </w:tabs>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000000"/>
          <w:spacing w:val="0"/>
          <w:position w:val="0"/>
          <w:sz w:val="24"/>
          <w:highlight w:val="none"/>
          <w:shd w:val="clear" w:fill="auto"/>
        </w:rPr>
        <w:t>六、</w:t>
      </w:r>
      <w:r>
        <w:rPr>
          <w:rFonts w:ascii="宋体" w:hAnsi="宋体" w:eastAsia="宋体" w:cs="宋体"/>
          <w:color w:val="auto"/>
          <w:spacing w:val="0"/>
          <w:position w:val="0"/>
          <w:sz w:val="24"/>
          <w:highlight w:val="none"/>
          <w:shd w:val="clear" w:fill="auto"/>
        </w:rPr>
        <w:t>设置传染病门诊的综合医院，应合理布置，避免交叉感染。</w:t>
      </w:r>
    </w:p>
    <w:p>
      <w:pPr>
        <w:tabs>
          <w:tab w:val="left" w:pos="142"/>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auto"/>
          <w:spacing w:val="0"/>
          <w:position w:val="0"/>
          <w:sz w:val="24"/>
          <w:highlight w:val="none"/>
          <w:shd w:val="clear" w:fill="auto"/>
        </w:rPr>
        <w:t>七、新建医院</w:t>
      </w:r>
      <w:r>
        <w:rPr>
          <w:rFonts w:ascii="宋体" w:hAnsi="宋体" w:eastAsia="宋体" w:cs="宋体"/>
          <w:color w:val="000000"/>
          <w:spacing w:val="0"/>
          <w:position w:val="0"/>
          <w:sz w:val="24"/>
          <w:highlight w:val="none"/>
          <w:shd w:val="clear" w:fill="auto"/>
        </w:rPr>
        <w:t>应配套建设患者、医护人员的康复、活动场地。</w:t>
      </w:r>
    </w:p>
    <w:p>
      <w:pPr>
        <w:tabs>
          <w:tab w:val="left" w:pos="1735"/>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八、新建医院应配套建设机动车和非机动车停车设施。</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第十八条</w:t>
      </w:r>
      <w:r>
        <w:rPr>
          <w:rFonts w:ascii="Times New Roman" w:hAnsi="Times New Roman" w:eastAsia="Times New Roman" w:cs="Times New Roman"/>
          <w:b/>
          <w:color w:val="auto"/>
          <w:spacing w:val="0"/>
          <w:position w:val="0"/>
          <w:sz w:val="24"/>
          <w:highlight w:val="none"/>
          <w:shd w:val="clear" w:fill="auto"/>
        </w:rPr>
        <w:t xml:space="preserve"> </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综合医院的出入口不宜少于二处。</w:t>
      </w:r>
    </w:p>
    <w:p>
      <w:pPr>
        <w:tabs>
          <w:tab w:val="left" w:pos="1735"/>
        </w:tabs>
        <w:spacing w:before="156" w:after="0" w:line="360" w:lineRule="auto"/>
        <w:ind w:left="0" w:right="0" w:firstLine="0"/>
        <w:jc w:val="both"/>
        <w:rPr>
          <w:rFonts w:ascii="Times New Roman" w:hAnsi="Times New Roman" w:eastAsia="Times New Roman" w:cs="Times New Roman"/>
          <w:b/>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第十九条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新建</w:t>
      </w:r>
      <w:r>
        <w:rPr>
          <w:rFonts w:ascii="宋体" w:hAnsi="宋体" w:eastAsia="宋体" w:cs="宋体"/>
          <w:color w:val="000000"/>
          <w:spacing w:val="0"/>
          <w:position w:val="0"/>
          <w:sz w:val="24"/>
          <w:highlight w:val="none"/>
          <w:shd w:val="clear" w:fill="auto"/>
        </w:rPr>
        <w:t>综合医院建筑密度不宜超过</w:t>
      </w:r>
      <w:r>
        <w:rPr>
          <w:rFonts w:ascii="Times New Roman" w:hAnsi="Times New Roman" w:eastAsia="Times New Roman" w:cs="Times New Roman"/>
          <w:color w:val="000000"/>
          <w:spacing w:val="0"/>
          <w:position w:val="0"/>
          <w:sz w:val="24"/>
          <w:highlight w:val="none"/>
          <w:shd w:val="clear" w:fill="auto"/>
        </w:rPr>
        <w:t>35%</w:t>
      </w:r>
      <w:r>
        <w:rPr>
          <w:rFonts w:ascii="宋体" w:hAnsi="宋体" w:eastAsia="宋体" w:cs="宋体"/>
          <w:color w:val="000000"/>
          <w:spacing w:val="0"/>
          <w:position w:val="0"/>
          <w:sz w:val="24"/>
          <w:highlight w:val="none"/>
          <w:shd w:val="clear" w:fill="auto"/>
        </w:rPr>
        <w:t>，容积率宜为</w:t>
      </w:r>
      <w:r>
        <w:rPr>
          <w:rFonts w:ascii="Times New Roman" w:hAnsi="Times New Roman" w:eastAsia="Times New Roman" w:cs="Times New Roman"/>
          <w:color w:val="000000"/>
          <w:spacing w:val="0"/>
          <w:position w:val="0"/>
          <w:sz w:val="24"/>
          <w:highlight w:val="none"/>
          <w:shd w:val="clear" w:fill="auto"/>
        </w:rPr>
        <w:t>1.0 ~1.5</w:t>
      </w:r>
      <w:r>
        <w:rPr>
          <w:rFonts w:ascii="宋体" w:hAnsi="宋体" w:eastAsia="宋体" w:cs="宋体"/>
          <w:color w:val="000000"/>
          <w:spacing w:val="0"/>
          <w:position w:val="0"/>
          <w:sz w:val="24"/>
          <w:highlight w:val="none"/>
          <w:shd w:val="clear" w:fill="auto"/>
        </w:rPr>
        <w:t>。改建、扩建项目可根据实际情况及当地规划要求调整，但容积率不宜超过</w:t>
      </w:r>
      <w:r>
        <w:rPr>
          <w:rFonts w:ascii="Times New Roman" w:hAnsi="Times New Roman" w:eastAsia="Times New Roman" w:cs="Times New Roman"/>
          <w:color w:val="000000"/>
          <w:spacing w:val="0"/>
          <w:position w:val="0"/>
          <w:sz w:val="24"/>
          <w:highlight w:val="none"/>
          <w:shd w:val="clear" w:fill="auto"/>
        </w:rPr>
        <w:t>2.5</w:t>
      </w:r>
      <w:r>
        <w:rPr>
          <w:rFonts w:ascii="宋体" w:hAnsi="宋体" w:eastAsia="宋体" w:cs="宋体"/>
          <w:color w:val="000000"/>
          <w:spacing w:val="0"/>
          <w:position w:val="0"/>
          <w:sz w:val="24"/>
          <w:highlight w:val="none"/>
          <w:shd w:val="clear" w:fill="auto"/>
        </w:rPr>
        <w:t>。</w:t>
      </w:r>
    </w:p>
    <w:p>
      <w:pPr>
        <w:tabs>
          <w:tab w:val="left" w:pos="1735"/>
        </w:tabs>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综合医院绿地率应符合当地规划的有关规定，新建综合医院应有较完整的绿化布置方案，设置相应的室外活动场地，绿地率不宜低于</w:t>
      </w:r>
      <w:r>
        <w:rPr>
          <w:rFonts w:ascii="Times New Roman" w:hAnsi="Times New Roman" w:eastAsia="Times New Roman" w:cs="Times New Roman"/>
          <w:color w:val="auto"/>
          <w:spacing w:val="0"/>
          <w:position w:val="0"/>
          <w:sz w:val="24"/>
          <w:highlight w:val="none"/>
          <w:shd w:val="clear" w:fill="auto"/>
        </w:rPr>
        <w:t>35%</w:t>
      </w:r>
      <w:r>
        <w:rPr>
          <w:rFonts w:ascii="宋体" w:hAnsi="宋体" w:eastAsia="宋体" w:cs="宋体"/>
          <w:color w:val="auto"/>
          <w:spacing w:val="0"/>
          <w:position w:val="0"/>
          <w:sz w:val="24"/>
          <w:highlight w:val="none"/>
          <w:shd w:val="clear" w:fill="auto"/>
        </w:rPr>
        <w:t>；改建、扩建综合医院绿地率不宜低于</w:t>
      </w:r>
      <w:r>
        <w:rPr>
          <w:rFonts w:ascii="Times New Roman" w:hAnsi="Times New Roman" w:eastAsia="Times New Roman" w:cs="Times New Roman"/>
          <w:color w:val="auto"/>
          <w:spacing w:val="0"/>
          <w:position w:val="0"/>
          <w:sz w:val="24"/>
          <w:highlight w:val="none"/>
          <w:shd w:val="clear" w:fill="auto"/>
        </w:rPr>
        <w:t>30%</w:t>
      </w:r>
      <w:r>
        <w:rPr>
          <w:rFonts w:ascii="宋体" w:hAnsi="宋体" w:eastAsia="宋体" w:cs="宋体"/>
          <w:color w:val="auto"/>
          <w:spacing w:val="0"/>
          <w:position w:val="0"/>
          <w:sz w:val="24"/>
          <w:highlight w:val="none"/>
          <w:shd w:val="clear" w:fill="auto"/>
        </w:rPr>
        <w:t>。</w:t>
      </w:r>
    </w:p>
    <w:p>
      <w:pPr>
        <w:tabs>
          <w:tab w:val="left" w:pos="1735"/>
        </w:tabs>
        <w:spacing w:before="156" w:after="0" w:line="360" w:lineRule="auto"/>
        <w:ind w:left="0" w:right="0" w:firstLine="0"/>
        <w:jc w:val="both"/>
        <w:rPr>
          <w:rFonts w:ascii="Times New Roman" w:hAnsi="Times New Roman" w:eastAsia="Times New Roman" w:cs="Times New Roman"/>
          <w:color w:val="000000"/>
          <w:spacing w:val="0"/>
          <w:position w:val="0"/>
          <w:sz w:val="24"/>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宋体" w:hAnsi="宋体" w:eastAsia="宋体" w:cs="宋体"/>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第四章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建筑面积指标</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第二十一条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综合医院中急诊部、门诊部、住院部、医技科室、保障系统、行政管理和院内生活用房等七项设施的床均建筑面积指标，应符合表</w:t>
      </w:r>
      <w:r>
        <w:rPr>
          <w:rFonts w:ascii="Times New Roman" w:hAnsi="Times New Roman" w:eastAsia="Times New Roman" w:cs="Times New Roman"/>
          <w:color w:val="auto"/>
          <w:spacing w:val="0"/>
          <w:position w:val="0"/>
          <w:sz w:val="24"/>
          <w:highlight w:val="none"/>
          <w:shd w:val="clear" w:fill="auto"/>
        </w:rPr>
        <w:t>1</w:t>
      </w:r>
      <w:r>
        <w:rPr>
          <w:rFonts w:ascii="宋体" w:hAnsi="宋体" w:eastAsia="宋体" w:cs="宋体"/>
          <w:color w:val="auto"/>
          <w:spacing w:val="0"/>
          <w:position w:val="0"/>
          <w:sz w:val="24"/>
          <w:highlight w:val="none"/>
          <w:shd w:val="clear" w:fill="auto"/>
        </w:rPr>
        <w:t>的规定。</w:t>
      </w:r>
    </w:p>
    <w:p>
      <w:pPr>
        <w:spacing w:before="156" w:after="156" w:line="240" w:lineRule="auto"/>
        <w:ind w:left="0" w:right="0" w:firstLine="420"/>
        <w:jc w:val="center"/>
        <w:rPr>
          <w:rFonts w:ascii="Times New Roman" w:hAnsi="Times New Roman" w:eastAsia="Times New Roman" w:cs="Times New Roman"/>
          <w:color w:val="auto"/>
          <w:spacing w:val="0"/>
          <w:position w:val="0"/>
          <w:sz w:val="21"/>
          <w:highlight w:val="none"/>
          <w:shd w:val="clear" w:fill="auto"/>
        </w:rPr>
      </w:pPr>
      <w:r>
        <w:rPr>
          <w:rFonts w:ascii="Times New Roman" w:hAnsi="Times New Roman" w:eastAsia="Times New Roman" w:cs="Times New Roman"/>
          <w:b/>
          <w:color w:val="auto"/>
          <w:spacing w:val="0"/>
          <w:position w:val="0"/>
          <w:sz w:val="21"/>
          <w:highlight w:val="none"/>
          <w:shd w:val="clear" w:fill="auto"/>
        </w:rPr>
        <w:t xml:space="preserve">      </w:t>
      </w:r>
      <w:r>
        <w:rPr>
          <w:rFonts w:ascii="宋体" w:hAnsi="宋体" w:eastAsia="宋体" w:cs="宋体"/>
          <w:b/>
          <w:color w:val="auto"/>
          <w:spacing w:val="0"/>
          <w:position w:val="0"/>
          <w:sz w:val="21"/>
          <w:highlight w:val="none"/>
          <w:shd w:val="clear" w:fill="auto"/>
        </w:rPr>
        <w:t>表</w:t>
      </w:r>
      <w:r>
        <w:rPr>
          <w:rFonts w:ascii="Times New Roman" w:hAnsi="Times New Roman" w:eastAsia="Times New Roman" w:cs="Times New Roman"/>
          <w:b/>
          <w:color w:val="auto"/>
          <w:spacing w:val="0"/>
          <w:position w:val="0"/>
          <w:sz w:val="21"/>
          <w:highlight w:val="none"/>
          <w:shd w:val="clear" w:fill="auto"/>
        </w:rPr>
        <w:t xml:space="preserve">1     </w:t>
      </w:r>
      <w:r>
        <w:rPr>
          <w:rFonts w:ascii="宋体" w:hAnsi="宋体" w:eastAsia="宋体" w:cs="宋体"/>
          <w:b/>
          <w:color w:val="auto"/>
          <w:spacing w:val="0"/>
          <w:position w:val="0"/>
          <w:sz w:val="21"/>
          <w:highlight w:val="none"/>
          <w:shd w:val="clear" w:fill="auto"/>
        </w:rPr>
        <w:t>综合医院建筑面积指标</w:t>
      </w:r>
      <w:r>
        <w:rPr>
          <w:rFonts w:ascii="Times New Roman" w:hAnsi="Times New Roman" w:eastAsia="Times New Roman" w:cs="Times New Roman"/>
          <w:b/>
          <w:color w:val="auto"/>
          <w:spacing w:val="0"/>
          <w:position w:val="0"/>
          <w:sz w:val="21"/>
          <w:highlight w:val="none"/>
          <w:shd w:val="clear" w:fill="auto"/>
        </w:rPr>
        <w:t xml:space="preserve">   (m</w:t>
      </w:r>
      <w:r>
        <w:rPr>
          <w:rFonts w:ascii="Times New Roman" w:hAnsi="Times New Roman" w:eastAsia="Times New Roman" w:cs="Times New Roman"/>
          <w:b/>
          <w:color w:val="auto"/>
          <w:spacing w:val="0"/>
          <w:position w:val="0"/>
          <w:sz w:val="21"/>
          <w:highlight w:val="none"/>
          <w:shd w:val="clear" w:fill="auto"/>
          <w:vertAlign w:val="superscript"/>
        </w:rPr>
        <w:t>2</w:t>
      </w:r>
      <w:r>
        <w:rPr>
          <w:rFonts w:ascii="Times New Roman" w:hAnsi="Times New Roman" w:eastAsia="Times New Roman" w:cs="Times New Roman"/>
          <w:b/>
          <w:color w:val="auto"/>
          <w:spacing w:val="0"/>
          <w:position w:val="0"/>
          <w:sz w:val="21"/>
          <w:highlight w:val="none"/>
          <w:shd w:val="clear" w:fill="auto"/>
        </w:rPr>
        <w:t>/</w:t>
      </w:r>
      <w:r>
        <w:rPr>
          <w:rFonts w:ascii="宋体" w:hAnsi="宋体" w:eastAsia="宋体" w:cs="宋体"/>
          <w:b/>
          <w:color w:val="auto"/>
          <w:spacing w:val="0"/>
          <w:position w:val="0"/>
          <w:sz w:val="21"/>
          <w:highlight w:val="none"/>
          <w:shd w:val="clear" w:fill="auto"/>
        </w:rPr>
        <w:t>床</w:t>
      </w:r>
      <w:r>
        <w:rPr>
          <w:rFonts w:ascii="Times New Roman" w:hAnsi="Times New Roman" w:eastAsia="Times New Roman" w:cs="Times New Roman"/>
          <w:b/>
          <w:color w:val="auto"/>
          <w:spacing w:val="0"/>
          <w:position w:val="0"/>
          <w:sz w:val="21"/>
          <w:highlight w:val="none"/>
          <w:shd w:val="clear" w:fill="auto"/>
        </w:rPr>
        <w:t xml:space="preserve">) </w:t>
      </w:r>
      <w:r>
        <w:rPr>
          <w:rFonts w:ascii="Times New Roman" w:hAnsi="Times New Roman" w:eastAsia="Times New Roman" w:cs="Times New Roman"/>
          <w:color w:val="auto"/>
          <w:spacing w:val="0"/>
          <w:position w:val="0"/>
          <w:sz w:val="21"/>
          <w:highlight w:val="none"/>
          <w:shd w:val="clear" w:fill="auto"/>
        </w:rPr>
        <w:t xml:space="preserve">      </w:t>
      </w:r>
    </w:p>
    <w:tbl>
      <w:tblPr>
        <w:tblStyle w:val="3"/>
        <w:tblW w:w="8522" w:type="dxa"/>
        <w:jc w:val="center"/>
        <w:tblInd w:w="0" w:type="dxa"/>
        <w:tblLayout w:type="fixed"/>
        <w:tblCellMar>
          <w:top w:w="0" w:type="dxa"/>
          <w:left w:w="108" w:type="dxa"/>
          <w:bottom w:w="0" w:type="dxa"/>
          <w:right w:w="108" w:type="dxa"/>
        </w:tblCellMar>
      </w:tblPr>
      <w:tblGrid>
        <w:gridCol w:w="1538"/>
        <w:gridCol w:w="1133"/>
        <w:gridCol w:w="1132"/>
        <w:gridCol w:w="1132"/>
        <w:gridCol w:w="1132"/>
        <w:gridCol w:w="1132"/>
        <w:gridCol w:w="1323"/>
      </w:tblGrid>
      <w:tr>
        <w:tblPrEx>
          <w:tblLayout w:type="fixed"/>
          <w:tblCellMar>
            <w:top w:w="0" w:type="dxa"/>
            <w:left w:w="108" w:type="dxa"/>
            <w:bottom w:w="0" w:type="dxa"/>
            <w:right w:w="108" w:type="dxa"/>
          </w:tblCellMar>
        </w:tblPrEx>
        <w:trPr>
          <w:trHeight w:val="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rFonts w:ascii="宋体" w:hAnsi="宋体" w:eastAsia="宋体" w:cs="宋体"/>
                <w:color w:val="auto"/>
                <w:position w:val="0"/>
                <w:highlight w:val="none"/>
              </w:rPr>
            </w:pPr>
            <w:r>
              <w:rPr>
                <w:rFonts w:ascii="宋体" w:hAnsi="宋体" w:eastAsia="宋体" w:cs="宋体"/>
                <w:color w:val="auto"/>
                <w:spacing w:val="-12"/>
                <w:position w:val="0"/>
                <w:sz w:val="21"/>
                <w:highlight w:val="none"/>
                <w:shd w:val="clear" w:fill="auto"/>
              </w:rPr>
              <w:t>建设规模</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200</w:t>
            </w:r>
            <w:r>
              <w:rPr>
                <w:rFonts w:ascii="宋体" w:hAnsi="宋体" w:eastAsia="宋体" w:cs="宋体"/>
                <w:color w:val="auto"/>
                <w:spacing w:val="-12"/>
                <w:position w:val="0"/>
                <w:sz w:val="21"/>
                <w:highlight w:val="none"/>
                <w:shd w:val="clear" w:fill="auto"/>
              </w:rPr>
              <w:t>张床以下</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200</w:t>
            </w:r>
            <w:r>
              <w:rPr>
                <w:rFonts w:ascii="宋体" w:hAnsi="宋体" w:eastAsia="宋体" w:cs="宋体"/>
                <w:color w:val="auto"/>
                <w:spacing w:val="-12"/>
                <w:position w:val="0"/>
                <w:sz w:val="21"/>
                <w:highlight w:val="none"/>
                <w:shd w:val="clear" w:fill="auto"/>
              </w:rPr>
              <w:t>～</w:t>
            </w:r>
            <w:r>
              <w:rPr>
                <w:rFonts w:ascii="Times New Roman" w:hAnsi="Times New Roman" w:eastAsia="Times New Roman" w:cs="Times New Roman"/>
                <w:color w:val="auto"/>
                <w:spacing w:val="-12"/>
                <w:position w:val="0"/>
                <w:sz w:val="21"/>
                <w:highlight w:val="none"/>
                <w:shd w:val="clear" w:fill="auto"/>
              </w:rPr>
              <w:t>399</w:t>
            </w:r>
            <w:r>
              <w:rPr>
                <w:rFonts w:ascii="宋体" w:hAnsi="宋体" w:eastAsia="宋体" w:cs="宋体"/>
                <w:color w:val="auto"/>
                <w:spacing w:val="-12"/>
                <w:position w:val="0"/>
                <w:sz w:val="21"/>
                <w:highlight w:val="none"/>
                <w:shd w:val="clear" w:fill="auto"/>
              </w:rPr>
              <w:t>床</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400</w:t>
            </w:r>
            <w:r>
              <w:rPr>
                <w:rFonts w:ascii="宋体" w:hAnsi="宋体" w:eastAsia="宋体" w:cs="宋体"/>
                <w:color w:val="auto"/>
                <w:spacing w:val="-12"/>
                <w:position w:val="0"/>
                <w:sz w:val="21"/>
                <w:highlight w:val="none"/>
                <w:shd w:val="clear" w:fill="auto"/>
              </w:rPr>
              <w:t>～</w:t>
            </w:r>
            <w:r>
              <w:rPr>
                <w:rFonts w:ascii="Times New Roman" w:hAnsi="Times New Roman" w:eastAsia="Times New Roman" w:cs="Times New Roman"/>
                <w:color w:val="auto"/>
                <w:spacing w:val="-12"/>
                <w:position w:val="0"/>
                <w:sz w:val="21"/>
                <w:highlight w:val="none"/>
                <w:shd w:val="clear" w:fill="auto"/>
              </w:rPr>
              <w:t>599</w:t>
            </w:r>
            <w:r>
              <w:rPr>
                <w:rFonts w:ascii="宋体" w:hAnsi="宋体" w:eastAsia="宋体" w:cs="宋体"/>
                <w:color w:val="auto"/>
                <w:spacing w:val="-12"/>
                <w:position w:val="0"/>
                <w:sz w:val="21"/>
                <w:highlight w:val="none"/>
                <w:shd w:val="clear" w:fill="auto"/>
              </w:rPr>
              <w:t>床</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600</w:t>
            </w:r>
            <w:r>
              <w:rPr>
                <w:rFonts w:ascii="宋体" w:hAnsi="宋体" w:eastAsia="宋体" w:cs="宋体"/>
                <w:color w:val="auto"/>
                <w:spacing w:val="-12"/>
                <w:position w:val="0"/>
                <w:sz w:val="21"/>
                <w:highlight w:val="none"/>
                <w:shd w:val="clear" w:fill="auto"/>
              </w:rPr>
              <w:t>～</w:t>
            </w:r>
            <w:r>
              <w:rPr>
                <w:rFonts w:ascii="Times New Roman" w:hAnsi="Times New Roman" w:eastAsia="Times New Roman" w:cs="Times New Roman"/>
                <w:color w:val="auto"/>
                <w:spacing w:val="-12"/>
                <w:position w:val="0"/>
                <w:sz w:val="21"/>
                <w:highlight w:val="none"/>
                <w:shd w:val="clear" w:fill="auto"/>
              </w:rPr>
              <w:t>899</w:t>
            </w:r>
            <w:r>
              <w:rPr>
                <w:rFonts w:ascii="宋体" w:hAnsi="宋体" w:eastAsia="宋体" w:cs="宋体"/>
                <w:color w:val="auto"/>
                <w:spacing w:val="-12"/>
                <w:position w:val="0"/>
                <w:sz w:val="21"/>
                <w:highlight w:val="none"/>
                <w:shd w:val="clear" w:fill="auto"/>
              </w:rPr>
              <w:t>床</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900</w:t>
            </w:r>
            <w:r>
              <w:rPr>
                <w:rFonts w:ascii="宋体" w:hAnsi="宋体" w:eastAsia="宋体" w:cs="宋体"/>
                <w:color w:val="auto"/>
                <w:spacing w:val="-12"/>
                <w:position w:val="0"/>
                <w:sz w:val="21"/>
                <w:highlight w:val="none"/>
                <w:shd w:val="clear" w:fill="auto"/>
              </w:rPr>
              <w:t>～</w:t>
            </w:r>
            <w:r>
              <w:rPr>
                <w:rFonts w:ascii="Times New Roman" w:hAnsi="Times New Roman" w:eastAsia="Times New Roman" w:cs="Times New Roman"/>
                <w:color w:val="auto"/>
                <w:spacing w:val="-12"/>
                <w:position w:val="0"/>
                <w:sz w:val="21"/>
                <w:highlight w:val="none"/>
                <w:shd w:val="clear" w:fill="auto"/>
              </w:rPr>
              <w:t>1199</w:t>
            </w:r>
            <w:r>
              <w:rPr>
                <w:rFonts w:ascii="宋体" w:hAnsi="宋体" w:eastAsia="宋体" w:cs="宋体"/>
                <w:color w:val="auto"/>
                <w:spacing w:val="-12"/>
                <w:position w:val="0"/>
                <w:sz w:val="21"/>
                <w:highlight w:val="none"/>
                <w:shd w:val="clear" w:fill="auto"/>
              </w:rPr>
              <w:t>床</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position w:val="0"/>
                <w:highlight w:val="none"/>
              </w:rPr>
            </w:pPr>
            <w:r>
              <w:rPr>
                <w:rFonts w:ascii="Times New Roman" w:hAnsi="Times New Roman" w:eastAsia="Times New Roman" w:cs="Times New Roman"/>
                <w:color w:val="auto"/>
                <w:spacing w:val="-12"/>
                <w:position w:val="0"/>
                <w:sz w:val="21"/>
                <w:highlight w:val="none"/>
                <w:shd w:val="clear" w:fill="auto"/>
              </w:rPr>
              <w:t>1200</w:t>
            </w:r>
            <w:r>
              <w:rPr>
                <w:rFonts w:ascii="宋体" w:hAnsi="宋体" w:eastAsia="宋体" w:cs="宋体"/>
                <w:color w:val="auto"/>
                <w:spacing w:val="-12"/>
                <w:position w:val="0"/>
                <w:sz w:val="21"/>
                <w:highlight w:val="none"/>
                <w:shd w:val="clear" w:fill="auto"/>
              </w:rPr>
              <w:t>～</w:t>
            </w:r>
            <w:r>
              <w:rPr>
                <w:rFonts w:ascii="Times New Roman" w:hAnsi="Times New Roman" w:eastAsia="Times New Roman" w:cs="Times New Roman"/>
                <w:color w:val="auto"/>
                <w:spacing w:val="-12"/>
                <w:position w:val="0"/>
                <w:sz w:val="21"/>
                <w:highlight w:val="none"/>
                <w:shd w:val="clear" w:fill="auto"/>
              </w:rPr>
              <w:t>1500</w:t>
            </w:r>
            <w:r>
              <w:rPr>
                <w:rFonts w:ascii="宋体" w:hAnsi="宋体" w:eastAsia="宋体" w:cs="宋体"/>
                <w:color w:val="auto"/>
                <w:spacing w:val="-12"/>
                <w:position w:val="0"/>
                <w:sz w:val="21"/>
                <w:highlight w:val="none"/>
                <w:shd w:val="clear" w:fill="auto"/>
              </w:rPr>
              <w:t>床及以上</w:t>
            </w:r>
          </w:p>
        </w:tc>
      </w:tr>
      <w:tr>
        <w:tblPrEx>
          <w:tblLayout w:type="fixed"/>
          <w:tblCellMar>
            <w:top w:w="0" w:type="dxa"/>
            <w:left w:w="108" w:type="dxa"/>
            <w:bottom w:w="0" w:type="dxa"/>
            <w:right w:w="108" w:type="dxa"/>
          </w:tblCellMar>
        </w:tblPrEx>
        <w:trPr>
          <w:trHeight w:val="0" w:hRule="atLeast"/>
          <w:jc w:val="center"/>
        </w:trPr>
        <w:tc>
          <w:tcPr>
            <w:tcW w:w="15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建筑面积指标</w:t>
            </w:r>
          </w:p>
        </w:tc>
        <w:tc>
          <w:tcPr>
            <w:tcW w:w="113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110</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115</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114</w:t>
            </w:r>
          </w:p>
        </w:tc>
        <w:tc>
          <w:tcPr>
            <w:tcW w:w="11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113</w:t>
            </w:r>
          </w:p>
        </w:tc>
        <w:tc>
          <w:tcPr>
            <w:tcW w:w="132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56" w:after="156" w:line="240" w:lineRule="auto"/>
              <w:ind w:left="0" w:right="0" w:firstLine="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112</w:t>
            </w:r>
          </w:p>
        </w:tc>
      </w:tr>
    </w:tbl>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第二十二条</w:t>
      </w:r>
      <w:r>
        <w:rPr>
          <w:rFonts w:ascii="Times New Roman" w:hAnsi="Times New Roman" w:eastAsia="Times New Roman" w:cs="Times New Roman"/>
          <w:b/>
          <w:color w:val="auto"/>
          <w:spacing w:val="0"/>
          <w:position w:val="0"/>
          <w:sz w:val="24"/>
          <w:highlight w:val="none"/>
          <w:shd w:val="clear" w:fill="auto"/>
        </w:rPr>
        <w:t xml:space="preserve">  </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综合医院各组成部分用房在七项用房建筑面积中所占的比例宜符合表</w:t>
      </w:r>
      <w:r>
        <w:rPr>
          <w:rFonts w:ascii="Times New Roman" w:hAnsi="Times New Roman" w:eastAsia="Times New Roman" w:cs="Times New Roman"/>
          <w:color w:val="auto"/>
          <w:spacing w:val="0"/>
          <w:position w:val="0"/>
          <w:sz w:val="24"/>
          <w:highlight w:val="none"/>
          <w:shd w:val="clear" w:fill="auto"/>
        </w:rPr>
        <w:t>2</w:t>
      </w:r>
      <w:r>
        <w:rPr>
          <w:rFonts w:ascii="宋体" w:hAnsi="宋体" w:eastAsia="宋体" w:cs="宋体"/>
          <w:color w:val="auto"/>
          <w:spacing w:val="0"/>
          <w:position w:val="0"/>
          <w:sz w:val="24"/>
          <w:highlight w:val="none"/>
          <w:shd w:val="clear" w:fill="auto"/>
        </w:rPr>
        <w:t>的规定。</w:t>
      </w:r>
    </w:p>
    <w:p>
      <w:pPr>
        <w:spacing w:before="156" w:after="156" w:line="240" w:lineRule="auto"/>
        <w:ind w:left="0" w:right="0" w:firstLine="420"/>
        <w:jc w:val="center"/>
        <w:rPr>
          <w:rFonts w:ascii="Times New Roman" w:hAnsi="Times New Roman" w:eastAsia="Times New Roman" w:cs="Times New Roman"/>
          <w:b/>
          <w:color w:val="auto"/>
          <w:spacing w:val="0"/>
          <w:position w:val="0"/>
          <w:sz w:val="21"/>
          <w:highlight w:val="none"/>
          <w:shd w:val="clear" w:fill="auto"/>
        </w:rPr>
      </w:pPr>
    </w:p>
    <w:p>
      <w:pPr>
        <w:spacing w:before="156" w:after="156" w:line="240" w:lineRule="auto"/>
        <w:ind w:left="0" w:right="0" w:firstLine="420"/>
        <w:jc w:val="center"/>
        <w:rPr>
          <w:rFonts w:ascii="Times New Roman" w:hAnsi="Times New Roman" w:eastAsia="Times New Roman" w:cs="Times New Roman"/>
          <w:color w:val="auto"/>
          <w:spacing w:val="0"/>
          <w:position w:val="0"/>
          <w:sz w:val="21"/>
          <w:highlight w:val="none"/>
          <w:shd w:val="clear" w:fill="auto"/>
        </w:rPr>
      </w:pPr>
      <w:r>
        <w:rPr>
          <w:rFonts w:ascii="宋体" w:hAnsi="宋体" w:eastAsia="宋体" w:cs="宋体"/>
          <w:b/>
          <w:color w:val="auto"/>
          <w:spacing w:val="0"/>
          <w:position w:val="0"/>
          <w:sz w:val="21"/>
          <w:highlight w:val="none"/>
          <w:shd w:val="clear" w:fill="auto"/>
        </w:rPr>
        <w:t>表</w:t>
      </w:r>
      <w:r>
        <w:rPr>
          <w:rFonts w:ascii="Times New Roman" w:hAnsi="Times New Roman" w:eastAsia="Times New Roman" w:cs="Times New Roman"/>
          <w:b/>
          <w:color w:val="auto"/>
          <w:spacing w:val="0"/>
          <w:position w:val="0"/>
          <w:sz w:val="21"/>
          <w:highlight w:val="none"/>
          <w:shd w:val="clear" w:fill="auto"/>
        </w:rPr>
        <w:t xml:space="preserve">2    </w:t>
      </w:r>
      <w:r>
        <w:rPr>
          <w:rFonts w:ascii="宋体" w:hAnsi="宋体" w:eastAsia="宋体" w:cs="宋体"/>
          <w:b/>
          <w:color w:val="auto"/>
          <w:spacing w:val="0"/>
          <w:position w:val="0"/>
          <w:sz w:val="21"/>
          <w:highlight w:val="none"/>
          <w:shd w:val="clear" w:fill="auto"/>
        </w:rPr>
        <w:t>综合医院各类用房占总建筑面积的比例（</w:t>
      </w:r>
      <w:r>
        <w:rPr>
          <w:rFonts w:ascii="Times New Roman" w:hAnsi="Times New Roman" w:eastAsia="Times New Roman" w:cs="Times New Roman"/>
          <w:b/>
          <w:color w:val="auto"/>
          <w:spacing w:val="0"/>
          <w:position w:val="0"/>
          <w:sz w:val="21"/>
          <w:highlight w:val="none"/>
          <w:shd w:val="clear" w:fill="auto"/>
        </w:rPr>
        <w:t>%</w:t>
      </w:r>
      <w:r>
        <w:rPr>
          <w:rFonts w:ascii="宋体" w:hAnsi="宋体" w:eastAsia="宋体" w:cs="宋体"/>
          <w:b/>
          <w:color w:val="auto"/>
          <w:spacing w:val="0"/>
          <w:position w:val="0"/>
          <w:sz w:val="21"/>
          <w:highlight w:val="none"/>
          <w:shd w:val="clear" w:fill="auto"/>
        </w:rPr>
        <w:t>）</w:t>
      </w:r>
      <w:r>
        <w:rPr>
          <w:rFonts w:ascii="Times New Roman" w:hAnsi="Times New Roman" w:eastAsia="Times New Roman" w:cs="Times New Roman"/>
          <w:b/>
          <w:color w:val="auto"/>
          <w:spacing w:val="0"/>
          <w:position w:val="0"/>
          <w:sz w:val="21"/>
          <w:highlight w:val="none"/>
          <w:shd w:val="clear" w:fill="auto"/>
        </w:rPr>
        <w:t xml:space="preserve"> </w:t>
      </w:r>
    </w:p>
    <w:tbl>
      <w:tblPr>
        <w:tblStyle w:val="3"/>
        <w:tblW w:w="8522" w:type="dxa"/>
        <w:jc w:val="center"/>
        <w:tblInd w:w="0" w:type="dxa"/>
        <w:tblLayout w:type="fixed"/>
        <w:tblCellMar>
          <w:top w:w="0" w:type="dxa"/>
          <w:left w:w="108" w:type="dxa"/>
          <w:bottom w:w="0" w:type="dxa"/>
          <w:right w:w="108" w:type="dxa"/>
        </w:tblCellMar>
      </w:tblPr>
      <w:tblGrid>
        <w:gridCol w:w="2240"/>
        <w:gridCol w:w="6282"/>
      </w:tblGrid>
      <w:tr>
        <w:tblPrEx>
          <w:tblLayout w:type="fixed"/>
          <w:tblCellMar>
            <w:top w:w="0" w:type="dxa"/>
            <w:left w:w="108" w:type="dxa"/>
            <w:bottom w:w="0" w:type="dxa"/>
            <w:right w:w="108" w:type="dxa"/>
          </w:tblCellMar>
        </w:tblPrEx>
        <w:trPr>
          <w:trHeight w:val="0"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部门</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各类用房占总建筑面积的比例</w:t>
            </w:r>
          </w:p>
        </w:tc>
      </w:tr>
      <w:tr>
        <w:tblPrEx>
          <w:tblLayout w:type="fixed"/>
          <w:tblCellMar>
            <w:top w:w="0" w:type="dxa"/>
            <w:left w:w="108" w:type="dxa"/>
            <w:bottom w:w="0" w:type="dxa"/>
            <w:right w:w="108" w:type="dxa"/>
          </w:tblCellMar>
        </w:tblPrEx>
        <w:trPr>
          <w:trHeight w:val="0"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急诊部</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3～5</w:t>
            </w:r>
          </w:p>
        </w:tc>
      </w:tr>
      <w:tr>
        <w:tblPrEx>
          <w:tblLayout w:type="fixed"/>
          <w:tblCellMar>
            <w:top w:w="0" w:type="dxa"/>
            <w:left w:w="108" w:type="dxa"/>
            <w:bottom w:w="0" w:type="dxa"/>
            <w:right w:w="108" w:type="dxa"/>
          </w:tblCellMar>
        </w:tblPrEx>
        <w:trPr>
          <w:trHeight w:val="0"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门诊部</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12～15</w:t>
            </w:r>
          </w:p>
        </w:tc>
      </w:tr>
      <w:tr>
        <w:tblPrEx>
          <w:tblLayout w:type="fixed"/>
          <w:tblCellMar>
            <w:top w:w="0" w:type="dxa"/>
            <w:left w:w="108" w:type="dxa"/>
            <w:bottom w:w="0" w:type="dxa"/>
            <w:right w:w="108" w:type="dxa"/>
          </w:tblCellMar>
        </w:tblPrEx>
        <w:trPr>
          <w:trHeight w:val="1"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住院部</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37～41</w:t>
            </w:r>
          </w:p>
        </w:tc>
      </w:tr>
      <w:tr>
        <w:tblPrEx>
          <w:tblLayout w:type="fixed"/>
          <w:tblCellMar>
            <w:top w:w="0" w:type="dxa"/>
            <w:left w:w="108" w:type="dxa"/>
            <w:bottom w:w="0" w:type="dxa"/>
            <w:right w:w="108" w:type="dxa"/>
          </w:tblCellMar>
        </w:tblPrEx>
        <w:trPr>
          <w:trHeight w:val="1"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医技科室</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25～27</w:t>
            </w:r>
          </w:p>
        </w:tc>
      </w:tr>
      <w:tr>
        <w:tblPrEx>
          <w:tblLayout w:type="fixed"/>
          <w:tblCellMar>
            <w:top w:w="0" w:type="dxa"/>
            <w:left w:w="108" w:type="dxa"/>
            <w:bottom w:w="0" w:type="dxa"/>
            <w:right w:w="108" w:type="dxa"/>
          </w:tblCellMar>
        </w:tblPrEx>
        <w:trPr>
          <w:trHeight w:val="1"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保障系统</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8～12</w:t>
            </w:r>
          </w:p>
        </w:tc>
      </w:tr>
      <w:tr>
        <w:tblPrEx>
          <w:tblLayout w:type="fixed"/>
          <w:tblCellMar>
            <w:top w:w="0" w:type="dxa"/>
            <w:left w:w="108" w:type="dxa"/>
            <w:bottom w:w="0" w:type="dxa"/>
            <w:right w:w="108" w:type="dxa"/>
          </w:tblCellMar>
        </w:tblPrEx>
        <w:trPr>
          <w:trHeight w:val="1"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行政管理</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3～4</w:t>
            </w:r>
          </w:p>
        </w:tc>
      </w:tr>
      <w:tr>
        <w:tblPrEx>
          <w:tblLayout w:type="fixed"/>
          <w:tblCellMar>
            <w:top w:w="0" w:type="dxa"/>
            <w:left w:w="108" w:type="dxa"/>
            <w:bottom w:w="0" w:type="dxa"/>
            <w:right w:w="108" w:type="dxa"/>
          </w:tblCellMar>
        </w:tblPrEx>
        <w:trPr>
          <w:trHeight w:val="1" w:hRule="atLeast"/>
          <w:jc w:val="center"/>
        </w:trPr>
        <w:tc>
          <w:tcPr>
            <w:tcW w:w="22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院内生活</w:t>
            </w:r>
          </w:p>
        </w:tc>
        <w:tc>
          <w:tcPr>
            <w:tcW w:w="628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3～5</w:t>
            </w:r>
          </w:p>
        </w:tc>
      </w:tr>
    </w:tbl>
    <w:p>
      <w:pPr>
        <w:tabs>
          <w:tab w:val="left" w:pos="1735"/>
        </w:tabs>
        <w:spacing w:before="156" w:after="156" w:line="240" w:lineRule="auto"/>
        <w:ind w:left="0" w:right="0" w:firstLine="0"/>
        <w:jc w:val="both"/>
        <w:rPr>
          <w:rFonts w:ascii="Times New Roman" w:hAnsi="Times New Roman" w:eastAsia="Times New Roman" w:cs="Times New Roman"/>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注：各类用房占总建筑面积的比例可根据地区和医院的实际需要调整。</w:t>
      </w:r>
    </w:p>
    <w:p>
      <w:pPr>
        <w:spacing w:before="156" w:after="0" w:line="360" w:lineRule="auto"/>
        <w:ind w:left="0" w:right="0" w:firstLine="0"/>
        <w:jc w:val="both"/>
        <w:rPr>
          <w:rFonts w:ascii="Times New Roman" w:hAnsi="Times New Roman" w:eastAsia="Times New Roman" w:cs="Times New Roman"/>
          <w:color w:val="auto"/>
          <w:spacing w:val="-8"/>
          <w:position w:val="0"/>
          <w:sz w:val="24"/>
          <w:highlight w:val="none"/>
          <w:shd w:val="clear" w:fill="auto"/>
        </w:rPr>
      </w:pPr>
      <w:r>
        <w:rPr>
          <w:rFonts w:ascii="宋体" w:hAnsi="宋体" w:eastAsia="宋体" w:cs="宋体"/>
          <w:b/>
          <w:color w:val="auto"/>
          <w:spacing w:val="0"/>
          <w:position w:val="0"/>
          <w:sz w:val="24"/>
          <w:highlight w:val="none"/>
          <w:shd w:val="clear" w:fill="auto"/>
        </w:rPr>
        <w:t>第二十三条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正电子发射型磁共振成像系统等大型医用设备</w:t>
      </w:r>
      <w:r>
        <w:rPr>
          <w:rFonts w:ascii="宋体" w:hAnsi="宋体" w:eastAsia="宋体" w:cs="宋体"/>
          <w:color w:val="auto"/>
          <w:spacing w:val="-8"/>
          <w:position w:val="0"/>
          <w:sz w:val="24"/>
          <w:highlight w:val="none"/>
          <w:shd w:val="clear" w:fill="auto"/>
        </w:rPr>
        <w:t>的房屋建筑面积，可参照表</w:t>
      </w:r>
      <w:r>
        <w:rPr>
          <w:rFonts w:ascii="Times New Roman" w:hAnsi="Times New Roman" w:eastAsia="Times New Roman" w:cs="Times New Roman"/>
          <w:color w:val="auto"/>
          <w:spacing w:val="-8"/>
          <w:position w:val="0"/>
          <w:sz w:val="24"/>
          <w:highlight w:val="none"/>
          <w:shd w:val="clear" w:fill="auto"/>
        </w:rPr>
        <w:t>3</w:t>
      </w:r>
      <w:r>
        <w:rPr>
          <w:rFonts w:ascii="宋体" w:hAnsi="宋体" w:eastAsia="宋体" w:cs="宋体"/>
          <w:color w:val="auto"/>
          <w:spacing w:val="-8"/>
          <w:position w:val="0"/>
          <w:sz w:val="24"/>
          <w:highlight w:val="none"/>
          <w:shd w:val="clear" w:fill="auto"/>
        </w:rPr>
        <w:t>的面积指标增加相应建</w:t>
      </w:r>
      <w:bookmarkStart w:id="0" w:name="_GoBack"/>
      <w:bookmarkEnd w:id="0"/>
      <w:r>
        <w:rPr>
          <w:rFonts w:ascii="宋体" w:hAnsi="宋体" w:eastAsia="宋体" w:cs="宋体"/>
          <w:color w:val="auto"/>
          <w:spacing w:val="-8"/>
          <w:position w:val="0"/>
          <w:sz w:val="24"/>
          <w:highlight w:val="none"/>
          <w:shd w:val="clear" w:fill="auto"/>
        </w:rPr>
        <w:t>筑面积。</w:t>
      </w:r>
    </w:p>
    <w:p>
      <w:pPr>
        <w:spacing w:before="0" w:after="0" w:line="240" w:lineRule="auto"/>
        <w:ind w:left="0" w:right="0" w:firstLine="0"/>
        <w:jc w:val="center"/>
        <w:rPr>
          <w:rFonts w:ascii="Times New Roman" w:hAnsi="Times New Roman" w:eastAsia="Times New Roman" w:cs="Times New Roman"/>
          <w:color w:val="auto"/>
          <w:spacing w:val="0"/>
          <w:position w:val="0"/>
          <w:sz w:val="21"/>
          <w:highlight w:val="none"/>
          <w:shd w:val="clear" w:fill="auto"/>
        </w:rPr>
      </w:pPr>
      <w:r>
        <w:rPr>
          <w:rFonts w:ascii="宋体" w:hAnsi="宋体" w:eastAsia="宋体" w:cs="宋体"/>
          <w:b/>
          <w:color w:val="auto"/>
          <w:spacing w:val="0"/>
          <w:position w:val="0"/>
          <w:sz w:val="21"/>
          <w:highlight w:val="none"/>
          <w:shd w:val="clear" w:fill="auto"/>
        </w:rPr>
        <w:t>表</w:t>
      </w:r>
      <w:r>
        <w:rPr>
          <w:rFonts w:ascii="Times New Roman" w:hAnsi="Times New Roman" w:eastAsia="Times New Roman" w:cs="Times New Roman"/>
          <w:b/>
          <w:color w:val="auto"/>
          <w:spacing w:val="0"/>
          <w:position w:val="0"/>
          <w:sz w:val="21"/>
          <w:highlight w:val="none"/>
          <w:shd w:val="clear" w:fill="auto"/>
        </w:rPr>
        <w:t xml:space="preserve">3   </w:t>
      </w:r>
      <w:r>
        <w:rPr>
          <w:rFonts w:ascii="宋体" w:hAnsi="宋体" w:eastAsia="宋体" w:cs="宋体"/>
          <w:b/>
          <w:color w:val="auto"/>
          <w:spacing w:val="0"/>
          <w:position w:val="0"/>
          <w:sz w:val="21"/>
          <w:highlight w:val="none"/>
          <w:shd w:val="clear" w:fill="auto"/>
        </w:rPr>
        <w:t>综合医院单列项目房屋建筑面积指标</w:t>
      </w:r>
      <w:r>
        <w:rPr>
          <w:rFonts w:ascii="Times New Roman" w:hAnsi="Times New Roman" w:eastAsia="Times New Roman" w:cs="Times New Roman"/>
          <w:b/>
          <w:color w:val="auto"/>
          <w:spacing w:val="0"/>
          <w:position w:val="0"/>
          <w:sz w:val="21"/>
          <w:highlight w:val="none"/>
          <w:shd w:val="clear" w:fill="auto"/>
        </w:rPr>
        <w:t xml:space="preserve">  </w:t>
      </w:r>
      <w:r>
        <w:rPr>
          <w:rFonts w:ascii="宋体" w:hAnsi="宋体" w:eastAsia="宋体" w:cs="宋体"/>
          <w:b/>
          <w:color w:val="auto"/>
          <w:spacing w:val="0"/>
          <w:position w:val="0"/>
          <w:sz w:val="21"/>
          <w:highlight w:val="none"/>
          <w:shd w:val="clear" w:fill="auto"/>
        </w:rPr>
        <w:t>（</w:t>
      </w:r>
      <w:r>
        <w:rPr>
          <w:rFonts w:ascii="Times New Roman" w:hAnsi="Times New Roman" w:eastAsia="Times New Roman" w:cs="Times New Roman"/>
          <w:b/>
          <w:color w:val="auto"/>
          <w:spacing w:val="0"/>
          <w:position w:val="0"/>
          <w:sz w:val="21"/>
          <w:highlight w:val="none"/>
          <w:shd w:val="clear" w:fill="auto"/>
        </w:rPr>
        <w:t>m</w:t>
      </w:r>
      <w:r>
        <w:rPr>
          <w:rFonts w:ascii="Times New Roman" w:hAnsi="Times New Roman" w:eastAsia="Times New Roman" w:cs="Times New Roman"/>
          <w:b/>
          <w:color w:val="auto"/>
          <w:spacing w:val="0"/>
          <w:position w:val="0"/>
          <w:sz w:val="21"/>
          <w:highlight w:val="none"/>
          <w:shd w:val="clear" w:fill="auto"/>
          <w:vertAlign w:val="superscript"/>
        </w:rPr>
        <w:t>2</w:t>
      </w:r>
      <w:r>
        <w:rPr>
          <w:rFonts w:ascii="宋体" w:hAnsi="宋体" w:eastAsia="宋体" w:cs="宋体"/>
          <w:b/>
          <w:color w:val="auto"/>
          <w:spacing w:val="0"/>
          <w:position w:val="0"/>
          <w:sz w:val="21"/>
          <w:highlight w:val="none"/>
          <w:shd w:val="clear" w:fill="auto"/>
        </w:rPr>
        <w:t>）</w:t>
      </w:r>
    </w:p>
    <w:tbl>
      <w:tblPr>
        <w:tblStyle w:val="3"/>
        <w:tblW w:w="8522" w:type="dxa"/>
        <w:tblInd w:w="0" w:type="dxa"/>
        <w:tblLayout w:type="fixed"/>
        <w:tblCellMar>
          <w:top w:w="0" w:type="dxa"/>
          <w:left w:w="108" w:type="dxa"/>
          <w:bottom w:w="0" w:type="dxa"/>
          <w:right w:w="108" w:type="dxa"/>
        </w:tblCellMar>
      </w:tblPr>
      <w:tblGrid>
        <w:gridCol w:w="4813"/>
        <w:gridCol w:w="3709"/>
      </w:tblGrid>
      <w:tr>
        <w:tblPrEx>
          <w:tblLayout w:type="fixed"/>
          <w:tblCellMar>
            <w:top w:w="0" w:type="dxa"/>
            <w:left w:w="108" w:type="dxa"/>
            <w:bottom w:w="0" w:type="dxa"/>
            <w:right w:w="108" w:type="dxa"/>
          </w:tblCellMar>
        </w:tblPrEx>
        <w:trPr>
          <w:cantSplit/>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highlight w:val="none"/>
              </w:rPr>
            </w:pPr>
            <w:r>
              <w:rPr>
                <w:rFonts w:ascii="宋体" w:hAnsi="宋体" w:eastAsia="宋体" w:cs="宋体"/>
                <w:color w:val="auto"/>
                <w:spacing w:val="0"/>
                <w:position w:val="0"/>
                <w:sz w:val="21"/>
                <w:highlight w:val="none"/>
                <w:shd w:val="clear" w:fill="auto"/>
              </w:rPr>
              <w:t>项</w:t>
            </w:r>
            <w:r>
              <w:rPr>
                <w:rFonts w:ascii="Times New Roman" w:hAnsi="Times New Roman" w:eastAsia="Times New Roman" w:cs="Times New Roman"/>
                <w:color w:val="auto"/>
                <w:spacing w:val="0"/>
                <w:position w:val="0"/>
                <w:sz w:val="21"/>
                <w:highlight w:val="none"/>
                <w:shd w:val="clear" w:fill="auto"/>
              </w:rPr>
              <w:t xml:space="preserve"> </w:t>
            </w:r>
            <w:r>
              <w:rPr>
                <w:rFonts w:ascii="宋体" w:hAnsi="宋体" w:eastAsia="宋体" w:cs="宋体"/>
                <w:color w:val="auto"/>
                <w:spacing w:val="0"/>
                <w:position w:val="0"/>
                <w:sz w:val="21"/>
                <w:highlight w:val="none"/>
                <w:shd w:val="clear" w:fill="auto"/>
              </w:rPr>
              <w:t>目</w:t>
            </w:r>
            <w:r>
              <w:rPr>
                <w:rFonts w:ascii="Times New Roman" w:hAnsi="Times New Roman" w:eastAsia="Times New Roman" w:cs="Times New Roman"/>
                <w:color w:val="auto"/>
                <w:spacing w:val="0"/>
                <w:position w:val="0"/>
                <w:sz w:val="21"/>
                <w:highlight w:val="none"/>
                <w:shd w:val="clear" w:fill="auto"/>
              </w:rPr>
              <w:t xml:space="preserve"> </w:t>
            </w:r>
            <w:r>
              <w:rPr>
                <w:rFonts w:ascii="宋体" w:hAnsi="宋体" w:eastAsia="宋体" w:cs="宋体"/>
                <w:color w:val="auto"/>
                <w:spacing w:val="0"/>
                <w:position w:val="0"/>
                <w:sz w:val="21"/>
                <w:highlight w:val="none"/>
                <w:shd w:val="clear" w:fill="auto"/>
              </w:rPr>
              <w:t>名</w:t>
            </w:r>
            <w:r>
              <w:rPr>
                <w:rFonts w:ascii="Times New Roman" w:hAnsi="Times New Roman" w:eastAsia="Times New Roman" w:cs="Times New Roman"/>
                <w:color w:val="auto"/>
                <w:spacing w:val="0"/>
                <w:position w:val="0"/>
                <w:sz w:val="21"/>
                <w:highlight w:val="none"/>
                <w:shd w:val="clear" w:fill="auto"/>
              </w:rPr>
              <w:t xml:space="preserve"> </w:t>
            </w:r>
            <w:r>
              <w:rPr>
                <w:rFonts w:ascii="宋体" w:hAnsi="宋体" w:eastAsia="宋体" w:cs="宋体"/>
                <w:color w:val="auto"/>
                <w:spacing w:val="0"/>
                <w:position w:val="0"/>
                <w:sz w:val="21"/>
                <w:highlight w:val="none"/>
                <w:shd w:val="clear" w:fill="auto"/>
              </w:rPr>
              <w:t>称</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单列项目房屋建筑面积</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正电子发射型磁共振成像系统（PET/MR）</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600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螺旋断层放射治疗系统</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450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X线立体定向放射治疗系统（Cyberknife）</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450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直线加速器</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470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X线正电子发射断层扫描仪（PET/CT，含PET）</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300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内窥镜手术器械控制系统（手术机器人）</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150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X线计算机断层扫描仪（CT）</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260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磁共振成像设备（MRI）</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310</w:t>
            </w:r>
          </w:p>
        </w:tc>
      </w:tr>
      <w:tr>
        <w:tblPrEx>
          <w:tblLayout w:type="fixed"/>
          <w:tblCellMar>
            <w:top w:w="0" w:type="dxa"/>
            <w:left w:w="108" w:type="dxa"/>
            <w:bottom w:w="0" w:type="dxa"/>
            <w:right w:w="108" w:type="dxa"/>
          </w:tblCellMar>
        </w:tblPrEx>
        <w:trPr>
          <w:trHeight w:val="0" w:hRule="atLeast"/>
        </w:trPr>
        <w:tc>
          <w:tcPr>
            <w:tcW w:w="481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伽玛射线立体定向放射治疗系统</w:t>
            </w:r>
          </w:p>
        </w:tc>
        <w:tc>
          <w:tcPr>
            <w:tcW w:w="3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240</w:t>
            </w:r>
          </w:p>
        </w:tc>
      </w:tr>
    </w:tbl>
    <w:p>
      <w:pPr>
        <w:spacing w:before="0" w:after="0" w:line="240" w:lineRule="auto"/>
        <w:ind w:left="0" w:right="0" w:firstLine="420"/>
        <w:jc w:val="both"/>
        <w:rPr>
          <w:rFonts w:ascii="宋体" w:hAnsi="宋体" w:eastAsia="宋体" w:cs="宋体"/>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注：1.本表所列大型设备机房均为单台面积指标（含辅助用房面积）。</w:t>
      </w:r>
    </w:p>
    <w:p>
      <w:pPr>
        <w:spacing w:before="0" w:after="0" w:line="240" w:lineRule="auto"/>
        <w:ind w:left="0" w:right="0" w:firstLine="840"/>
        <w:jc w:val="both"/>
        <w:rPr>
          <w:rFonts w:ascii="宋体" w:hAnsi="宋体" w:eastAsia="宋体" w:cs="宋体"/>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2.本表未包括的大型医疗设备，按实际需要确定面积</w:t>
      </w:r>
      <w:r>
        <w:rPr>
          <w:rFonts w:hint="eastAsia" w:ascii="宋体" w:hAnsi="宋体" w:eastAsia="宋体" w:cs="宋体"/>
          <w:color w:val="auto"/>
          <w:spacing w:val="0"/>
          <w:position w:val="0"/>
          <w:sz w:val="21"/>
          <w:highlight w:val="none"/>
          <w:shd w:val="clear" w:fill="auto"/>
          <w:lang w:eastAsia="zh-CN"/>
        </w:rPr>
        <w:t>。</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第二十四条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综合医院内预防保健用房应按编制内每位预防保健工作人员</w:t>
      </w:r>
      <w:r>
        <w:rPr>
          <w:rFonts w:ascii="Times New Roman" w:hAnsi="Times New Roman" w:eastAsia="Times New Roman" w:cs="Times New Roman"/>
          <w:color w:val="auto"/>
          <w:spacing w:val="0"/>
          <w:position w:val="0"/>
          <w:sz w:val="24"/>
          <w:highlight w:val="none"/>
          <w:shd w:val="clear" w:fill="auto"/>
        </w:rPr>
        <w:t>35m</w:t>
      </w:r>
      <w:r>
        <w:rPr>
          <w:rFonts w:ascii="Times New Roman" w:hAnsi="Times New Roman" w:eastAsia="Times New Roman" w:cs="Times New Roman"/>
          <w:color w:val="auto"/>
          <w:spacing w:val="0"/>
          <w:position w:val="0"/>
          <w:sz w:val="24"/>
          <w:highlight w:val="none"/>
          <w:shd w:val="clear" w:fill="auto"/>
          <w:vertAlign w:val="superscript"/>
        </w:rPr>
        <w:t>2</w:t>
      </w:r>
      <w:r>
        <w:rPr>
          <w:rFonts w:ascii="宋体" w:hAnsi="宋体" w:eastAsia="宋体" w:cs="宋体"/>
          <w:color w:val="auto"/>
          <w:spacing w:val="0"/>
          <w:position w:val="0"/>
          <w:sz w:val="24"/>
          <w:highlight w:val="none"/>
          <w:shd w:val="clear" w:fill="auto"/>
        </w:rPr>
        <w:t>的标准增加预防保健用房的建筑面积。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第二十五条</w:t>
      </w:r>
      <w:r>
        <w:rPr>
          <w:rFonts w:ascii="Times New Roman" w:hAnsi="Times New Roman" w:eastAsia="Times New Roman" w:cs="Times New Roman"/>
          <w:b/>
          <w:color w:val="auto"/>
          <w:spacing w:val="0"/>
          <w:position w:val="0"/>
          <w:sz w:val="24"/>
          <w:highlight w:val="none"/>
          <w:shd w:val="clear" w:fill="auto"/>
        </w:rPr>
        <w:t xml:space="preserve"> </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承担医学科研任务的综合医院，应以副高及以上专业技术人员总数的</w:t>
      </w:r>
      <w:r>
        <w:rPr>
          <w:rFonts w:ascii="Times New Roman" w:hAnsi="Times New Roman" w:eastAsia="Times New Roman" w:cs="Times New Roman"/>
          <w:color w:val="auto"/>
          <w:spacing w:val="0"/>
          <w:position w:val="0"/>
          <w:sz w:val="24"/>
          <w:highlight w:val="none"/>
          <w:shd w:val="clear" w:fill="auto"/>
        </w:rPr>
        <w:t>70%</w:t>
      </w:r>
      <w:r>
        <w:rPr>
          <w:rFonts w:ascii="宋体" w:hAnsi="宋体" w:eastAsia="宋体" w:cs="宋体"/>
          <w:color w:val="auto"/>
          <w:spacing w:val="0"/>
          <w:position w:val="0"/>
          <w:sz w:val="24"/>
          <w:highlight w:val="none"/>
          <w:shd w:val="clear" w:fill="auto"/>
        </w:rPr>
        <w:t>为基数，按每人</w:t>
      </w:r>
      <w:r>
        <w:rPr>
          <w:rFonts w:ascii="Times New Roman" w:hAnsi="Times New Roman" w:eastAsia="Times New Roman" w:cs="Times New Roman"/>
          <w:color w:val="auto"/>
          <w:spacing w:val="0"/>
          <w:position w:val="0"/>
          <w:sz w:val="24"/>
          <w:highlight w:val="none"/>
          <w:shd w:val="clear" w:fill="auto"/>
        </w:rPr>
        <w:t>50m</w:t>
      </w:r>
      <w:r>
        <w:rPr>
          <w:rFonts w:ascii="Times New Roman" w:hAnsi="Times New Roman" w:eastAsia="Times New Roman" w:cs="Times New Roman"/>
          <w:color w:val="auto"/>
          <w:spacing w:val="0"/>
          <w:position w:val="0"/>
          <w:sz w:val="24"/>
          <w:highlight w:val="none"/>
          <w:shd w:val="clear" w:fill="auto"/>
          <w:vertAlign w:val="superscript"/>
        </w:rPr>
        <w:t>2</w:t>
      </w:r>
      <w:r>
        <w:rPr>
          <w:rFonts w:ascii="宋体" w:hAnsi="宋体" w:eastAsia="宋体" w:cs="宋体"/>
          <w:color w:val="auto"/>
          <w:spacing w:val="0"/>
          <w:position w:val="0"/>
          <w:sz w:val="24"/>
          <w:highlight w:val="none"/>
          <w:shd w:val="clear" w:fill="auto"/>
        </w:rPr>
        <w:t>的标准增加科研用房；开展动物实验研究的综合医院，应根据需要按有关规定配套建设适度规模的动物实验室。</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开展国家级重点科研任务的综合医院，按照国家级重点实验室每个</w:t>
      </w:r>
      <w:r>
        <w:rPr>
          <w:rFonts w:ascii="Times New Roman" w:hAnsi="Times New Roman" w:eastAsia="Times New Roman" w:cs="Times New Roman"/>
          <w:color w:val="auto"/>
          <w:spacing w:val="0"/>
          <w:position w:val="0"/>
          <w:sz w:val="24"/>
          <w:highlight w:val="none"/>
          <w:shd w:val="clear" w:fill="auto"/>
        </w:rPr>
        <w:t>3000m</w:t>
      </w:r>
      <w:r>
        <w:rPr>
          <w:rFonts w:ascii="Times New Roman" w:hAnsi="Times New Roman" w:eastAsia="Times New Roman" w:cs="Times New Roman"/>
          <w:color w:val="auto"/>
          <w:spacing w:val="0"/>
          <w:position w:val="0"/>
          <w:sz w:val="24"/>
          <w:highlight w:val="none"/>
          <w:shd w:val="clear" w:fill="auto"/>
          <w:vertAlign w:val="superscript"/>
        </w:rPr>
        <w:t>2</w:t>
      </w:r>
      <w:r>
        <w:rPr>
          <w:rFonts w:ascii="宋体" w:hAnsi="宋体" w:eastAsia="宋体" w:cs="宋体"/>
          <w:color w:val="auto"/>
          <w:spacing w:val="0"/>
          <w:position w:val="0"/>
          <w:sz w:val="24"/>
          <w:highlight w:val="none"/>
          <w:shd w:val="clear" w:fill="auto"/>
        </w:rPr>
        <w:t>增加相应的实验用房；承担国家、国际重大研究项目的综合医院，应根据实际业务需求单独报批。</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第二十六条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承担教学和实习任务的综合医院教学用房配置，应符合表</w:t>
      </w:r>
      <w:r>
        <w:rPr>
          <w:rFonts w:hint="eastAsia" w:ascii="宋体" w:hAnsi="宋体" w:eastAsia="宋体" w:cs="宋体"/>
          <w:color w:val="auto"/>
          <w:spacing w:val="0"/>
          <w:position w:val="0"/>
          <w:sz w:val="24"/>
          <w:highlight w:val="none"/>
          <w:shd w:val="clear" w:fill="auto"/>
          <w:lang w:val="en-US" w:eastAsia="zh-CN"/>
        </w:rPr>
        <w:t>4</w:t>
      </w:r>
      <w:r>
        <w:rPr>
          <w:rFonts w:ascii="宋体" w:hAnsi="宋体" w:eastAsia="宋体" w:cs="宋体"/>
          <w:color w:val="auto"/>
          <w:spacing w:val="0"/>
          <w:position w:val="0"/>
          <w:sz w:val="24"/>
          <w:highlight w:val="none"/>
          <w:shd w:val="clear" w:fill="auto"/>
        </w:rPr>
        <w:t>的规定。</w:t>
      </w:r>
    </w:p>
    <w:p>
      <w:pPr>
        <w:spacing w:before="156" w:after="156" w:line="240" w:lineRule="auto"/>
        <w:ind w:left="0" w:right="0" w:firstLine="0"/>
        <w:jc w:val="center"/>
        <w:rPr>
          <w:rFonts w:ascii="Times New Roman" w:hAnsi="Times New Roman" w:eastAsia="Times New Roman" w:cs="Times New Roman"/>
          <w:color w:val="auto"/>
          <w:spacing w:val="0"/>
          <w:position w:val="0"/>
          <w:sz w:val="21"/>
          <w:highlight w:val="none"/>
          <w:shd w:val="clear" w:fill="auto"/>
        </w:rPr>
      </w:pPr>
      <w:r>
        <w:rPr>
          <w:rFonts w:ascii="宋体" w:hAnsi="宋体" w:eastAsia="宋体" w:cs="宋体"/>
          <w:b/>
          <w:color w:val="auto"/>
          <w:spacing w:val="0"/>
          <w:position w:val="0"/>
          <w:sz w:val="21"/>
          <w:highlight w:val="none"/>
          <w:shd w:val="clear" w:fill="auto"/>
        </w:rPr>
        <w:t>表</w:t>
      </w:r>
      <w:r>
        <w:rPr>
          <w:rFonts w:ascii="Times New Roman" w:hAnsi="Times New Roman" w:eastAsia="Times New Roman" w:cs="Times New Roman"/>
          <w:b/>
          <w:color w:val="auto"/>
          <w:spacing w:val="0"/>
          <w:position w:val="0"/>
          <w:sz w:val="21"/>
          <w:highlight w:val="none"/>
          <w:shd w:val="clear" w:fill="auto"/>
        </w:rPr>
        <w:t xml:space="preserve">4    </w:t>
      </w:r>
      <w:r>
        <w:rPr>
          <w:rFonts w:ascii="宋体" w:hAnsi="宋体" w:eastAsia="宋体" w:cs="宋体"/>
          <w:b/>
          <w:color w:val="auto"/>
          <w:spacing w:val="0"/>
          <w:position w:val="0"/>
          <w:sz w:val="21"/>
          <w:highlight w:val="none"/>
          <w:shd w:val="clear" w:fill="auto"/>
        </w:rPr>
        <w:t>综合医院教学用房建筑面积指标（</w:t>
      </w:r>
      <w:r>
        <w:rPr>
          <w:rFonts w:ascii="Times New Roman" w:hAnsi="Times New Roman" w:eastAsia="Times New Roman" w:cs="Times New Roman"/>
          <w:b/>
          <w:color w:val="auto"/>
          <w:spacing w:val="0"/>
          <w:position w:val="0"/>
          <w:sz w:val="21"/>
          <w:highlight w:val="none"/>
          <w:shd w:val="clear" w:fill="auto"/>
        </w:rPr>
        <w:t>m</w:t>
      </w:r>
      <w:r>
        <w:rPr>
          <w:rFonts w:ascii="Times New Roman" w:hAnsi="Times New Roman" w:eastAsia="Times New Roman" w:cs="Times New Roman"/>
          <w:b/>
          <w:color w:val="auto"/>
          <w:spacing w:val="0"/>
          <w:position w:val="0"/>
          <w:sz w:val="21"/>
          <w:highlight w:val="none"/>
          <w:shd w:val="clear" w:fill="auto"/>
          <w:vertAlign w:val="superscript"/>
        </w:rPr>
        <w:t>2</w:t>
      </w:r>
      <w:r>
        <w:rPr>
          <w:rFonts w:ascii="Times New Roman" w:hAnsi="Times New Roman" w:eastAsia="Times New Roman" w:cs="Times New Roman"/>
          <w:b/>
          <w:color w:val="auto"/>
          <w:spacing w:val="0"/>
          <w:position w:val="0"/>
          <w:sz w:val="21"/>
          <w:highlight w:val="none"/>
          <w:shd w:val="clear" w:fill="auto"/>
        </w:rPr>
        <w:t>/</w:t>
      </w:r>
      <w:r>
        <w:rPr>
          <w:rFonts w:ascii="宋体" w:hAnsi="宋体" w:eastAsia="宋体" w:cs="宋体"/>
          <w:b/>
          <w:color w:val="auto"/>
          <w:spacing w:val="0"/>
          <w:position w:val="0"/>
          <w:sz w:val="21"/>
          <w:highlight w:val="none"/>
          <w:shd w:val="clear" w:fill="auto"/>
        </w:rPr>
        <w:t>学生）</w:t>
      </w:r>
    </w:p>
    <w:tbl>
      <w:tblPr>
        <w:tblStyle w:val="3"/>
        <w:tblW w:w="8408" w:type="dxa"/>
        <w:tblInd w:w="0" w:type="dxa"/>
        <w:tblLayout w:type="fixed"/>
        <w:tblCellMar>
          <w:top w:w="0" w:type="dxa"/>
          <w:left w:w="108" w:type="dxa"/>
          <w:bottom w:w="0" w:type="dxa"/>
          <w:right w:w="108" w:type="dxa"/>
        </w:tblCellMar>
      </w:tblPr>
      <w:tblGrid>
        <w:gridCol w:w="2866"/>
        <w:gridCol w:w="2966"/>
        <w:gridCol w:w="2576"/>
      </w:tblGrid>
      <w:tr>
        <w:tblPrEx>
          <w:tblLayout w:type="fixed"/>
          <w:tblCellMar>
            <w:top w:w="0" w:type="dxa"/>
            <w:left w:w="108" w:type="dxa"/>
            <w:bottom w:w="0" w:type="dxa"/>
            <w:right w:w="108" w:type="dxa"/>
          </w:tblCellMar>
        </w:tblPrEx>
        <w:trPr>
          <w:trHeight w:val="1" w:hRule="atLeast"/>
        </w:trPr>
        <w:tc>
          <w:tcPr>
            <w:tcW w:w="2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医院分类</w:t>
            </w:r>
          </w:p>
        </w:tc>
        <w:tc>
          <w:tcPr>
            <w:tcW w:w="29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教学医院</w:t>
            </w:r>
          </w:p>
        </w:tc>
        <w:tc>
          <w:tcPr>
            <w:tcW w:w="25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实习医院</w:t>
            </w:r>
          </w:p>
        </w:tc>
      </w:tr>
      <w:tr>
        <w:tblPrEx>
          <w:tblLayout w:type="fixed"/>
          <w:tblCellMar>
            <w:top w:w="0" w:type="dxa"/>
            <w:left w:w="108" w:type="dxa"/>
            <w:bottom w:w="0" w:type="dxa"/>
            <w:right w:w="108" w:type="dxa"/>
          </w:tblCellMar>
        </w:tblPrEx>
        <w:trPr>
          <w:trHeight w:val="1" w:hRule="atLeast"/>
        </w:trPr>
        <w:tc>
          <w:tcPr>
            <w:tcW w:w="28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rFonts w:ascii="宋体" w:hAnsi="宋体" w:eastAsia="宋体" w:cs="宋体"/>
                <w:color w:val="auto"/>
                <w:spacing w:val="0"/>
                <w:position w:val="0"/>
                <w:highlight w:val="none"/>
              </w:rPr>
            </w:pPr>
            <w:r>
              <w:rPr>
                <w:rFonts w:ascii="宋体" w:hAnsi="宋体" w:eastAsia="宋体" w:cs="宋体"/>
                <w:color w:val="auto"/>
                <w:spacing w:val="0"/>
                <w:position w:val="0"/>
                <w:sz w:val="21"/>
                <w:highlight w:val="none"/>
                <w:shd w:val="clear" w:fill="auto"/>
              </w:rPr>
              <w:t>面积指标</w:t>
            </w:r>
          </w:p>
        </w:tc>
        <w:tc>
          <w:tcPr>
            <w:tcW w:w="29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10</w:t>
            </w:r>
          </w:p>
        </w:tc>
        <w:tc>
          <w:tcPr>
            <w:tcW w:w="257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420"/>
              <w:jc w:val="center"/>
              <w:rPr>
                <w:color w:val="auto"/>
                <w:spacing w:val="0"/>
                <w:position w:val="0"/>
                <w:highlight w:val="none"/>
              </w:rPr>
            </w:pPr>
            <w:r>
              <w:rPr>
                <w:rFonts w:ascii="Times New Roman" w:hAnsi="Times New Roman" w:eastAsia="Times New Roman" w:cs="Times New Roman"/>
                <w:color w:val="auto"/>
                <w:spacing w:val="0"/>
                <w:position w:val="0"/>
                <w:sz w:val="21"/>
                <w:highlight w:val="none"/>
                <w:shd w:val="clear" w:fill="auto"/>
              </w:rPr>
              <w:t>2.5</w:t>
            </w:r>
          </w:p>
        </w:tc>
      </w:tr>
    </w:tbl>
    <w:p>
      <w:pPr>
        <w:spacing w:before="0" w:after="0" w:line="360" w:lineRule="auto"/>
        <w:ind w:left="0" w:right="0" w:firstLine="0"/>
        <w:jc w:val="both"/>
        <w:rPr>
          <w:rFonts w:ascii="Times New Roman" w:hAnsi="Times New Roman" w:eastAsia="Times New Roman" w:cs="Times New Roman"/>
          <w:color w:val="auto"/>
          <w:spacing w:val="0"/>
          <w:position w:val="0"/>
          <w:sz w:val="21"/>
          <w:highlight w:val="none"/>
          <w:shd w:val="clear" w:fill="auto"/>
        </w:rPr>
      </w:pPr>
      <w:r>
        <w:rPr>
          <w:rFonts w:ascii="宋体" w:hAnsi="宋体" w:eastAsia="宋体" w:cs="宋体"/>
          <w:color w:val="auto"/>
          <w:spacing w:val="0"/>
          <w:position w:val="0"/>
          <w:sz w:val="21"/>
          <w:highlight w:val="none"/>
          <w:shd w:val="clear" w:fill="auto"/>
        </w:rPr>
        <w:t>注：学生的数量按主管部门核定的临床教学班或实习的人数确定</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第二十七条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承担全科医师规范化培训或住院医师规范化培训等的综合医院，根据主管部门核定的规范化培训人数，按照</w:t>
      </w:r>
      <w:r>
        <w:rPr>
          <w:rFonts w:ascii="Times New Roman" w:hAnsi="Times New Roman" w:eastAsia="Times New Roman" w:cs="Times New Roman"/>
          <w:color w:val="auto"/>
          <w:spacing w:val="0"/>
          <w:position w:val="0"/>
          <w:sz w:val="24"/>
          <w:highlight w:val="none"/>
          <w:shd w:val="clear" w:fill="auto"/>
        </w:rPr>
        <w:t>10</w:t>
      </w:r>
      <w:r>
        <w:rPr>
          <w:rFonts w:ascii="Times New Roman" w:hAnsi="Times New Roman" w:eastAsia="Times New Roman" w:cs="Times New Roman"/>
          <w:color w:val="auto"/>
          <w:spacing w:val="0"/>
          <w:position w:val="0"/>
          <w:sz w:val="24"/>
          <w:highlight w:val="none"/>
          <w:shd w:val="clear" w:fill="auto"/>
        </w:rPr>
        <w:t>00</w:t>
      </w:r>
      <w:r>
        <w:rPr>
          <w:rFonts w:ascii="宋体" w:hAnsi="宋体" w:eastAsia="宋体" w:cs="宋体"/>
          <w:color w:val="auto"/>
          <w:spacing w:val="0"/>
          <w:position w:val="0"/>
          <w:sz w:val="24"/>
          <w:highlight w:val="none"/>
          <w:shd w:val="clear" w:fill="auto"/>
        </w:rPr>
        <w:t>平方米/个的标准增</w:t>
      </w:r>
      <w:r>
        <w:rPr>
          <w:rFonts w:ascii="宋体" w:hAnsi="宋体" w:eastAsia="宋体" w:cs="宋体"/>
          <w:color w:val="auto"/>
          <w:spacing w:val="0"/>
          <w:position w:val="0"/>
          <w:sz w:val="24"/>
          <w:highlight w:val="none"/>
          <w:shd w:val="clear" w:fill="auto"/>
        </w:rPr>
        <w:t>加培训用房面积，按照</w:t>
      </w:r>
      <w:r>
        <w:rPr>
          <w:rFonts w:ascii="Times New Roman" w:hAnsi="Times New Roman" w:eastAsia="Times New Roman" w:cs="Times New Roman"/>
          <w:color w:val="auto"/>
          <w:spacing w:val="0"/>
          <w:position w:val="0"/>
          <w:sz w:val="24"/>
          <w:highlight w:val="none"/>
          <w:shd w:val="clear" w:fill="auto"/>
        </w:rPr>
        <w:t>10</w:t>
      </w:r>
      <w:r>
        <w:rPr>
          <w:rFonts w:ascii="宋体" w:hAnsi="宋体" w:eastAsia="宋体" w:cs="宋体"/>
          <w:color w:val="auto"/>
          <w:spacing w:val="0"/>
          <w:position w:val="0"/>
          <w:sz w:val="24"/>
          <w:highlight w:val="none"/>
          <w:shd w:val="clear" w:fill="auto"/>
        </w:rPr>
        <w:t>平方米</w:t>
      </w:r>
      <w:r>
        <w:rPr>
          <w:rFonts w:ascii="Times New Roman" w:hAnsi="Times New Roman" w:eastAsia="Times New Roman" w:cs="Times New Roman"/>
          <w:color w:val="auto"/>
          <w:spacing w:val="0"/>
          <w:position w:val="0"/>
          <w:sz w:val="24"/>
          <w:highlight w:val="none"/>
          <w:shd w:val="clear" w:fill="auto"/>
        </w:rPr>
        <w:t>/</w:t>
      </w:r>
      <w:r>
        <w:rPr>
          <w:rFonts w:ascii="宋体" w:hAnsi="宋体" w:eastAsia="宋体" w:cs="宋体"/>
          <w:color w:val="auto"/>
          <w:spacing w:val="0"/>
          <w:position w:val="0"/>
          <w:sz w:val="24"/>
          <w:highlight w:val="none"/>
          <w:shd w:val="clear" w:fill="auto"/>
        </w:rPr>
        <w:t>人的标准增加教学用房面积，并按照</w:t>
      </w:r>
      <w:r>
        <w:rPr>
          <w:rFonts w:ascii="Times New Roman" w:hAnsi="Times New Roman" w:eastAsia="Times New Roman" w:cs="Times New Roman"/>
          <w:color w:val="auto"/>
          <w:spacing w:val="0"/>
          <w:position w:val="0"/>
          <w:sz w:val="24"/>
          <w:highlight w:val="none"/>
          <w:shd w:val="clear" w:fill="auto"/>
        </w:rPr>
        <w:t>12</w:t>
      </w:r>
      <w:r>
        <w:rPr>
          <w:rFonts w:ascii="宋体" w:hAnsi="宋体" w:eastAsia="宋体" w:cs="宋体"/>
          <w:color w:val="auto"/>
          <w:spacing w:val="0"/>
          <w:position w:val="0"/>
          <w:sz w:val="24"/>
          <w:highlight w:val="none"/>
          <w:shd w:val="clear" w:fill="auto"/>
        </w:rPr>
        <w:t>平方米</w:t>
      </w:r>
      <w:r>
        <w:rPr>
          <w:rFonts w:ascii="Times New Roman" w:hAnsi="Times New Roman" w:eastAsia="Times New Roman" w:cs="Times New Roman"/>
          <w:color w:val="auto"/>
          <w:spacing w:val="0"/>
          <w:position w:val="0"/>
          <w:sz w:val="24"/>
          <w:highlight w:val="none"/>
          <w:shd w:val="clear" w:fill="auto"/>
        </w:rPr>
        <w:t>/</w:t>
      </w:r>
      <w:r>
        <w:rPr>
          <w:rFonts w:ascii="宋体" w:hAnsi="宋体" w:eastAsia="宋体" w:cs="宋体"/>
          <w:color w:val="auto"/>
          <w:spacing w:val="0"/>
          <w:position w:val="0"/>
          <w:sz w:val="24"/>
          <w:highlight w:val="none"/>
          <w:shd w:val="clear" w:fill="auto"/>
        </w:rPr>
        <w:t>人的标准增加学员宿舍面积。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第二十八条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综合医院图书馆按照编制内职工</w:t>
      </w:r>
      <w:r>
        <w:rPr>
          <w:rFonts w:ascii="Times New Roman" w:hAnsi="Times New Roman" w:eastAsia="Times New Roman" w:cs="Times New Roman"/>
          <w:color w:val="auto"/>
          <w:spacing w:val="0"/>
          <w:position w:val="0"/>
          <w:sz w:val="24"/>
          <w:highlight w:val="none"/>
          <w:shd w:val="clear" w:fill="auto"/>
        </w:rPr>
        <w:t>2m</w:t>
      </w:r>
      <w:r>
        <w:rPr>
          <w:rFonts w:ascii="Times New Roman" w:hAnsi="Times New Roman" w:eastAsia="Times New Roman" w:cs="Times New Roman"/>
          <w:color w:val="auto"/>
          <w:spacing w:val="0"/>
          <w:position w:val="0"/>
          <w:sz w:val="24"/>
          <w:highlight w:val="none"/>
          <w:shd w:val="clear" w:fill="auto"/>
          <w:vertAlign w:val="superscript"/>
        </w:rPr>
        <w:t>2</w:t>
      </w:r>
      <w:r>
        <w:rPr>
          <w:rFonts w:ascii="Times New Roman" w:hAnsi="Times New Roman" w:eastAsia="Times New Roman" w:cs="Times New Roman"/>
          <w:color w:val="auto"/>
          <w:spacing w:val="0"/>
          <w:position w:val="0"/>
          <w:sz w:val="24"/>
          <w:highlight w:val="none"/>
          <w:shd w:val="clear" w:fill="auto"/>
        </w:rPr>
        <w:t>/</w:t>
      </w:r>
      <w:r>
        <w:rPr>
          <w:rFonts w:ascii="宋体" w:hAnsi="宋体" w:eastAsia="宋体" w:cs="宋体"/>
          <w:color w:val="auto"/>
          <w:spacing w:val="0"/>
          <w:position w:val="0"/>
          <w:sz w:val="24"/>
          <w:highlight w:val="none"/>
          <w:shd w:val="clear" w:fill="auto"/>
        </w:rPr>
        <w:t>人的标准增加建筑面积，室内活动用房按照编制内职工</w:t>
      </w:r>
      <w:r>
        <w:rPr>
          <w:rFonts w:ascii="Times New Roman" w:hAnsi="Times New Roman" w:eastAsia="Times New Roman" w:cs="Times New Roman"/>
          <w:color w:val="auto"/>
          <w:spacing w:val="0"/>
          <w:position w:val="0"/>
          <w:sz w:val="24"/>
          <w:highlight w:val="none"/>
          <w:shd w:val="clear" w:fill="auto"/>
        </w:rPr>
        <w:t>1m</w:t>
      </w:r>
      <w:r>
        <w:rPr>
          <w:rFonts w:ascii="Times New Roman" w:hAnsi="Times New Roman" w:eastAsia="Times New Roman" w:cs="Times New Roman"/>
          <w:color w:val="auto"/>
          <w:spacing w:val="0"/>
          <w:position w:val="0"/>
          <w:sz w:val="24"/>
          <w:highlight w:val="none"/>
          <w:shd w:val="clear" w:fill="auto"/>
          <w:vertAlign w:val="superscript"/>
        </w:rPr>
        <w:t>2</w:t>
      </w:r>
      <w:r>
        <w:rPr>
          <w:rFonts w:ascii="Times New Roman" w:hAnsi="Times New Roman" w:eastAsia="Times New Roman" w:cs="Times New Roman"/>
          <w:color w:val="auto"/>
          <w:spacing w:val="0"/>
          <w:position w:val="0"/>
          <w:sz w:val="24"/>
          <w:highlight w:val="none"/>
          <w:shd w:val="clear" w:fill="auto"/>
        </w:rPr>
        <w:t>/</w:t>
      </w:r>
      <w:r>
        <w:rPr>
          <w:rFonts w:ascii="宋体" w:hAnsi="宋体" w:eastAsia="宋体" w:cs="宋体"/>
          <w:color w:val="auto"/>
          <w:spacing w:val="0"/>
          <w:position w:val="0"/>
          <w:sz w:val="24"/>
          <w:highlight w:val="none"/>
          <w:shd w:val="clear" w:fill="auto"/>
        </w:rPr>
        <w:t>人的标准增加建筑面积。院内生活保障用房按照</w:t>
      </w:r>
      <w:r>
        <w:rPr>
          <w:rFonts w:ascii="Times New Roman" w:hAnsi="Times New Roman" w:eastAsia="Times New Roman" w:cs="Times New Roman"/>
          <w:color w:val="auto"/>
          <w:spacing w:val="0"/>
          <w:position w:val="0"/>
          <w:sz w:val="24"/>
          <w:highlight w:val="none"/>
          <w:shd w:val="clear" w:fill="auto"/>
        </w:rPr>
        <w:t>0.4 m</w:t>
      </w:r>
      <w:r>
        <w:rPr>
          <w:rFonts w:ascii="Times New Roman" w:hAnsi="Times New Roman" w:eastAsia="Times New Roman" w:cs="Times New Roman"/>
          <w:color w:val="auto"/>
          <w:spacing w:val="0"/>
          <w:position w:val="0"/>
          <w:sz w:val="24"/>
          <w:highlight w:val="none"/>
          <w:shd w:val="clear" w:fill="auto"/>
          <w:vertAlign w:val="superscript"/>
        </w:rPr>
        <w:t>2</w:t>
      </w:r>
      <w:r>
        <w:rPr>
          <w:rFonts w:ascii="Times New Roman" w:hAnsi="Times New Roman" w:eastAsia="Times New Roman" w:cs="Times New Roman"/>
          <w:color w:val="auto"/>
          <w:spacing w:val="0"/>
          <w:position w:val="0"/>
          <w:sz w:val="24"/>
          <w:highlight w:val="none"/>
          <w:shd w:val="clear" w:fill="auto"/>
        </w:rPr>
        <w:t>/</w:t>
      </w:r>
      <w:r>
        <w:rPr>
          <w:rFonts w:ascii="宋体" w:hAnsi="宋体" w:eastAsia="宋体" w:cs="宋体"/>
          <w:color w:val="auto"/>
          <w:spacing w:val="0"/>
          <w:position w:val="0"/>
          <w:sz w:val="24"/>
          <w:highlight w:val="none"/>
          <w:shd w:val="clear" w:fill="auto"/>
        </w:rPr>
        <w:t>床的标准增加建筑面积。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第二十九条</w:t>
      </w:r>
      <w:r>
        <w:rPr>
          <w:rFonts w:ascii="Times New Roman" w:hAnsi="Times New Roman" w:eastAsia="Times New Roman" w:cs="Times New Roman"/>
          <w:b/>
          <w:color w:val="auto"/>
          <w:spacing w:val="0"/>
          <w:position w:val="0"/>
          <w:sz w:val="24"/>
          <w:highlight w:val="none"/>
          <w:shd w:val="clear" w:fill="auto"/>
        </w:rPr>
        <w:t xml:space="preserve"> </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综合医院停车的数量和停车设施的面积指标，按建设项目所在地区的有关规定执行。</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根据建设项目所在地区的实际情况，需要配套建设人防工程、卫生应急储备设施的，应按有关规范增加相应的建筑面积。</w:t>
      </w:r>
    </w:p>
    <w:p>
      <w:pPr>
        <w:spacing w:before="156" w:after="0" w:line="300" w:lineRule="auto"/>
        <w:ind w:left="0" w:right="0" w:firstLine="0"/>
        <w:jc w:val="both"/>
        <w:rPr>
          <w:rFonts w:ascii="Times New Roman" w:hAnsi="Times New Roman" w:eastAsia="Times New Roman" w:cs="Times New Roman"/>
          <w:b/>
          <w:color w:val="auto"/>
          <w:spacing w:val="0"/>
          <w:position w:val="0"/>
          <w:sz w:val="24"/>
          <w:highlight w:val="none"/>
          <w:shd w:val="clear" w:fill="auto"/>
        </w:rPr>
      </w:pPr>
    </w:p>
    <w:p>
      <w:pPr>
        <w:spacing w:before="156" w:after="0"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第五章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建筑与建筑设备</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第三十一条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综合医院的建设应贯彻安全、适用、经济、绿色、美观的原则，建筑装修和环境设计充分考虑使用人群的生理和心理特点，构建舒适、怡人的诊疗环境。建筑标准应根据不同地区的经济条件合理确定。</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第三十二条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综合医院的各类用房及配套设施应按现行国家标准《建筑工程抗震设防分类标准》（</w:t>
      </w:r>
      <w:r>
        <w:rPr>
          <w:rFonts w:ascii="Times New Roman" w:hAnsi="Times New Roman" w:eastAsia="Times New Roman" w:cs="Times New Roman"/>
          <w:color w:val="auto"/>
          <w:spacing w:val="0"/>
          <w:position w:val="0"/>
          <w:sz w:val="24"/>
          <w:highlight w:val="none"/>
          <w:shd w:val="clear" w:fill="auto"/>
        </w:rPr>
        <w:t>GB500233</w:t>
      </w:r>
      <w:r>
        <w:rPr>
          <w:rFonts w:ascii="宋体" w:hAnsi="宋体" w:eastAsia="宋体" w:cs="宋体"/>
          <w:color w:val="auto"/>
          <w:spacing w:val="0"/>
          <w:position w:val="0"/>
          <w:sz w:val="24"/>
          <w:highlight w:val="none"/>
          <w:shd w:val="clear" w:fill="auto"/>
        </w:rPr>
        <w:t>）中重点设防类（乙类）进行抗震设防，并根据相关国家规范进行抗震设计，合理采用减隔震技术。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第三十三条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综合医院建筑宜以多层、多层及高层组合形式为主。门急诊楼、医技楼、住院楼等主要建筑的结构形式应考虑使用的灵活性和改造的可能性。</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住院楼不宜设置阳台</w:t>
      </w:r>
      <w:r>
        <w:rPr>
          <w:rFonts w:ascii="宋体" w:hAnsi="宋体" w:eastAsia="宋体" w:cs="宋体"/>
          <w:color w:val="000000"/>
          <w:spacing w:val="0"/>
          <w:position w:val="0"/>
          <w:sz w:val="24"/>
          <w:highlight w:val="none"/>
          <w:shd w:val="clear" w:fill="auto"/>
        </w:rPr>
        <w:t>；因功能需要而设置阳台的，应设有相应的防护设施</w:t>
      </w:r>
      <w:r>
        <w:rPr>
          <w:rFonts w:ascii="宋体" w:hAnsi="宋体" w:eastAsia="宋体" w:cs="宋体"/>
          <w:color w:val="auto"/>
          <w:spacing w:val="0"/>
          <w:position w:val="0"/>
          <w:sz w:val="24"/>
          <w:highlight w:val="none"/>
          <w:shd w:val="clear" w:fill="auto"/>
        </w:rPr>
        <w:t>。</w:t>
      </w:r>
    </w:p>
    <w:p>
      <w:pPr>
        <w:spacing w:before="156" w:after="0" w:line="360" w:lineRule="auto"/>
        <w:ind w:left="0" w:right="0" w:firstLine="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第三十四条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w:t>
      </w:r>
      <w:r>
        <w:rPr>
          <w:rFonts w:ascii="宋体" w:hAnsi="宋体" w:eastAsia="宋体" w:cs="宋体"/>
          <w:color w:val="000000"/>
          <w:spacing w:val="0"/>
          <w:position w:val="0"/>
          <w:sz w:val="24"/>
          <w:highlight w:val="none"/>
          <w:shd w:val="clear" w:fill="auto"/>
        </w:rPr>
        <w:t>二层医疗用房宜设电梯。三层及三层以上的医疗用房应设电梯。三层以上医疗用房电梯不得少于二台，其中一台为无障碍电梯，病房楼应单设污物电梯。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第三十五条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综合医院的建设应符合国家《无障碍设计规范》（</w:t>
      </w:r>
      <w:r>
        <w:rPr>
          <w:rFonts w:ascii="Times New Roman" w:hAnsi="Times New Roman" w:eastAsia="Times New Roman" w:cs="Times New Roman"/>
          <w:color w:val="auto"/>
          <w:spacing w:val="0"/>
          <w:position w:val="0"/>
          <w:sz w:val="24"/>
          <w:highlight w:val="none"/>
          <w:shd w:val="clear" w:fill="auto"/>
        </w:rPr>
        <w:t>GB50763</w:t>
      </w:r>
      <w:r>
        <w:rPr>
          <w:rFonts w:ascii="宋体" w:hAnsi="宋体" w:eastAsia="宋体" w:cs="宋体"/>
          <w:color w:val="auto"/>
          <w:spacing w:val="0"/>
          <w:position w:val="0"/>
          <w:sz w:val="24"/>
          <w:highlight w:val="none"/>
          <w:shd w:val="clear" w:fill="auto"/>
        </w:rPr>
        <w:t>）及当地无障碍设施建设的有关规定。</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第三十六条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综合医院的建筑物应符合国家及地方建筑节能、绿色建筑的相关标准，符合医院感染预防与控制的基本原则，并根据国家及当地的有关要求进行环境影响评价。</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第三十七条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候诊区等公共空间应充分考虑老弱病残孕等特殊患者需要，设置无性别卫生间、哺乳室和婴儿整理台等。</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第三十八条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门急诊、病房、手术室等区域应设置医患交流室、医护人员休息区等，注重人文关怀，为医务人员提供必须保障。</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第三十九条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综合医院的室内装修和设施，应符合下列规定：</w:t>
      </w:r>
    </w:p>
    <w:p>
      <w:pPr>
        <w:tabs>
          <w:tab w:val="left" w:pos="16777074"/>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一、应选用坚固、环保、安全的材料，不应使用易产生粉尘、微粒、纤维性物质的材料和有尖锐棱角的家具，室内空气质量应达到相关标准。</w:t>
      </w:r>
    </w:p>
    <w:p>
      <w:pPr>
        <w:tabs>
          <w:tab w:val="left" w:pos="16777074"/>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二、室内顶棚应便于清扫、防积尘，易维修。</w:t>
      </w:r>
    </w:p>
    <w:p>
      <w:pPr>
        <w:tabs>
          <w:tab w:val="left" w:pos="720"/>
          <w:tab w:val="left" w:pos="1080"/>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三、内墙墙体不应使用易裂、易燃、易吸潮、易腐蚀、不耐碰撞、不易吊挂的材料；有推床（车）通过的门和墙面，应采取防碰撞措施。</w:t>
      </w:r>
    </w:p>
    <w:p>
      <w:pPr>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四、</w:t>
      </w:r>
      <w:r>
        <w:rPr>
          <w:rFonts w:ascii="宋体" w:hAnsi="宋体" w:eastAsia="宋体" w:cs="宋体"/>
          <w:color w:val="auto"/>
          <w:spacing w:val="0"/>
          <w:position w:val="0"/>
          <w:sz w:val="24"/>
          <w:highlight w:val="none"/>
          <w:shd w:val="clear" w:fill="auto"/>
        </w:rPr>
        <w:t>地面应选用防滑、易清洗的材料</w:t>
      </w:r>
      <w:r>
        <w:rPr>
          <w:rFonts w:ascii="宋体" w:hAnsi="宋体" w:eastAsia="宋体" w:cs="宋体"/>
          <w:color w:val="000000"/>
          <w:spacing w:val="0"/>
          <w:position w:val="0"/>
          <w:sz w:val="24"/>
          <w:highlight w:val="none"/>
          <w:shd w:val="clear" w:fill="auto"/>
        </w:rPr>
        <w:t>；检验科、血库、病理科等用房的地面用材还应耐腐蚀，便于清洁消毒；部分医疗设备用房应防尘、防静电。</w:t>
      </w:r>
    </w:p>
    <w:p>
      <w:pPr>
        <w:tabs>
          <w:tab w:val="left" w:pos="720"/>
          <w:tab w:val="left" w:pos="1080"/>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五、化验台、操作台等台面均应采用易洁净、耐腐蚀、可冲洗、耐燃烧的面层，相关的洗涤池和排水管应采用耐腐蚀的材料。</w:t>
      </w:r>
    </w:p>
    <w:p>
      <w:pPr>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六、厕所卫生洁具、洗涤池应采用耐腐蚀、难玷污、易清洁的建筑配件，洗手池和便器宜采用非手动开关。男女卫生间的便器设置比例应小于或等于</w:t>
      </w:r>
      <w:r>
        <w:rPr>
          <w:rFonts w:ascii="Times New Roman" w:hAnsi="Times New Roman" w:eastAsia="Times New Roman" w:cs="Times New Roman"/>
          <w:color w:val="000000"/>
          <w:spacing w:val="0"/>
          <w:position w:val="0"/>
          <w:sz w:val="24"/>
          <w:highlight w:val="none"/>
          <w:shd w:val="clear" w:fill="auto"/>
        </w:rPr>
        <w:t>1:2</w:t>
      </w:r>
      <w:r>
        <w:rPr>
          <w:rFonts w:ascii="宋体" w:hAnsi="宋体" w:eastAsia="宋体" w:cs="宋体"/>
          <w:color w:val="000000"/>
          <w:spacing w:val="0"/>
          <w:position w:val="0"/>
          <w:sz w:val="24"/>
          <w:highlight w:val="none"/>
          <w:shd w:val="clear" w:fill="auto"/>
        </w:rPr>
        <w:t>。儿科等区域卫生间应设置儿童卫生间或儿童专用洁具等。门诊区域应设置医务人员专用卫生间。</w:t>
      </w:r>
    </w:p>
    <w:p>
      <w:pPr>
        <w:tabs>
          <w:tab w:val="left" w:pos="720"/>
          <w:tab w:val="left" w:pos="1080"/>
        </w:tabs>
        <w:spacing w:before="156" w:after="0" w:line="360" w:lineRule="auto"/>
        <w:ind w:left="0" w:right="0" w:firstLine="48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color w:val="000000"/>
          <w:spacing w:val="0"/>
          <w:position w:val="0"/>
          <w:sz w:val="24"/>
          <w:highlight w:val="none"/>
          <w:shd w:val="clear" w:fill="auto"/>
        </w:rPr>
        <w:t>七、儿童诊疗区域的门窗、家具和楼地面等应采取必要的安全保护措施。</w:t>
      </w:r>
      <w:r>
        <w:rPr>
          <w:rFonts w:ascii="Times New Roman" w:hAnsi="Times New Roman" w:eastAsia="Times New Roman" w:cs="Times New Roman"/>
          <w:color w:val="000000"/>
          <w:spacing w:val="0"/>
          <w:position w:val="0"/>
          <w:sz w:val="24"/>
          <w:highlight w:val="none"/>
          <w:shd w:val="clear" w:fill="auto"/>
        </w:rPr>
        <w:t xml:space="preserve">      </w:t>
      </w:r>
    </w:p>
    <w:p>
      <w:pPr>
        <w:spacing w:before="156" w:after="0" w:line="360" w:lineRule="auto"/>
        <w:ind w:left="0" w:right="0" w:firstLine="48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000000"/>
          <w:spacing w:val="0"/>
          <w:position w:val="0"/>
          <w:sz w:val="24"/>
          <w:highlight w:val="none"/>
          <w:shd w:val="clear" w:fill="auto"/>
        </w:rPr>
        <w:t>八、检查、治疗用房应满足使用人群的隐私要求，注意开门方向，宜设闭门器。房间内宜设置隔帘或屏风</w:t>
      </w:r>
      <w:r>
        <w:rPr>
          <w:rFonts w:ascii="宋体" w:hAnsi="宋体" w:eastAsia="宋体" w:cs="宋体"/>
          <w:color w:val="auto"/>
          <w:spacing w:val="0"/>
          <w:position w:val="0"/>
          <w:sz w:val="24"/>
          <w:highlight w:val="none"/>
          <w:shd w:val="clear" w:fill="auto"/>
        </w:rPr>
        <w:t>。</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综合医院的院区管网，应采用分区专线供应，宜采用综合管廊形式。主要建筑物内，应设置管道井并根据需要设置设备层。设备层及主要管道沟应考虑设备系统及干管维修和通风，并采取防水措施。</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第四十一条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综合医院的供配电系统和设施应安全可靠，应采用双重电源供电并配备应急电源，保证不间断供电，应符合《供配电系统设计规范》</w:t>
      </w:r>
      <w:r>
        <w:rPr>
          <w:rFonts w:ascii="Times New Roman" w:hAnsi="Times New Roman" w:eastAsia="Times New Roman" w:cs="Times New Roman"/>
          <w:color w:val="auto"/>
          <w:spacing w:val="0"/>
          <w:position w:val="0"/>
          <w:sz w:val="24"/>
          <w:highlight w:val="none"/>
          <w:shd w:val="clear" w:fill="auto"/>
        </w:rPr>
        <w:t>(GB50052)</w:t>
      </w:r>
      <w:r>
        <w:rPr>
          <w:rFonts w:ascii="宋体" w:hAnsi="宋体" w:eastAsia="宋体" w:cs="宋体"/>
          <w:color w:val="auto"/>
          <w:spacing w:val="0"/>
          <w:position w:val="0"/>
          <w:sz w:val="24"/>
          <w:highlight w:val="none"/>
          <w:shd w:val="clear" w:fill="auto"/>
        </w:rPr>
        <w:t>及有关医疗建筑电气设计规范要求。</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第四十二条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综合医院应配置与其建设规模、医疗业务和医院管理相适应的智能化、信息化系统，并确保医院数据和网络信息安全。</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第四十三条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综合医院在室内外应配置完善、清晰、醒目的标识系统。</w:t>
      </w:r>
    </w:p>
    <w:p>
      <w:pPr>
        <w:spacing w:before="156" w:after="0" w:line="360" w:lineRule="auto"/>
        <w:ind w:left="0" w:right="0" w:firstLine="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第四十四条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w:t>
      </w:r>
      <w:r>
        <w:rPr>
          <w:rFonts w:ascii="宋体" w:hAnsi="宋体" w:eastAsia="宋体" w:cs="宋体"/>
          <w:color w:val="000000"/>
          <w:spacing w:val="0"/>
          <w:position w:val="0"/>
          <w:sz w:val="24"/>
          <w:highlight w:val="none"/>
          <w:shd w:val="clear" w:fill="auto"/>
        </w:rPr>
        <w:t>合医院绿化植物配置应避免选用种子飞扬、有异味、有毒、有刺及过敏性植物，不应使用带有尖状突出物的围栏。</w:t>
      </w:r>
    </w:p>
    <w:p>
      <w:pPr>
        <w:spacing w:before="156" w:after="0" w:line="360" w:lineRule="auto"/>
        <w:ind w:left="0" w:right="0" w:firstLine="0"/>
        <w:jc w:val="both"/>
        <w:rPr>
          <w:rFonts w:ascii="Times New Roman" w:hAnsi="Times New Roman" w:eastAsia="Times New Roman" w:cs="Times New Roman"/>
          <w:b/>
          <w:color w:val="auto"/>
          <w:spacing w:val="0"/>
          <w:position w:val="0"/>
          <w:sz w:val="28"/>
          <w:highlight w:val="none"/>
          <w:shd w:val="clear" w:fill="auto"/>
        </w:rPr>
      </w:pPr>
      <w:r>
        <w:rPr>
          <w:rFonts w:ascii="Times New Roman" w:hAnsi="Times New Roman" w:eastAsia="Times New Roman" w:cs="Times New Roman"/>
          <w:b/>
          <w:color w:val="auto"/>
          <w:spacing w:val="0"/>
          <w:position w:val="0"/>
          <w:sz w:val="28"/>
          <w:highlight w:val="none"/>
          <w:shd w:val="clear" w:fill="auto"/>
        </w:rPr>
        <w:t xml:space="preserve"> </w:t>
      </w: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第六章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医疗设备</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第四十五条</w:t>
      </w:r>
      <w:r>
        <w:rPr>
          <w:rFonts w:ascii="Times New Roman" w:hAnsi="Times New Roman" w:eastAsia="Times New Roman" w:cs="Times New Roman"/>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一般医疗设备的配置，应根据医院的不同功能、专科特长和所承担医疗诊断、疾病预防、康复保健工作任务，参照有关基本医疗装备配置标准的规定执行。</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第四十六条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大型医用设备的配置，应按国家相关规定执行。配置大型医用设备要充分兼顾技术的先进性、适宜性和可及性，促进区域卫生资源共享。</w:t>
      </w:r>
    </w:p>
    <w:p>
      <w:pPr>
        <w:spacing w:before="156" w:after="0" w:line="300" w:lineRule="auto"/>
        <w:ind w:left="0" w:right="0" w:firstLine="0"/>
        <w:jc w:val="both"/>
        <w:rPr>
          <w:rFonts w:ascii="Times New Roman" w:hAnsi="Times New Roman" w:eastAsia="Times New Roman" w:cs="Times New Roman"/>
          <w:color w:val="auto"/>
          <w:spacing w:val="0"/>
          <w:position w:val="0"/>
          <w:sz w:val="24"/>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r>
        <w:rPr>
          <w:rFonts w:ascii="Times New Roman" w:hAnsi="Times New Roman" w:eastAsia="Times New Roman" w:cs="Times New Roman"/>
          <w:b/>
          <w:color w:val="auto"/>
          <w:spacing w:val="0"/>
          <w:position w:val="0"/>
          <w:sz w:val="28"/>
          <w:highlight w:val="none"/>
          <w:shd w:val="clear" w:fill="auto"/>
        </w:rPr>
        <w:t xml:space="preserve"> </w:t>
      </w: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156" w:after="0" w:line="300" w:lineRule="auto"/>
        <w:ind w:left="0" w:right="0" w:firstLine="0"/>
        <w:jc w:val="both"/>
        <w:rPr>
          <w:rFonts w:ascii="Times New Roman" w:hAnsi="Times New Roman" w:eastAsia="Times New Roman" w:cs="Times New Roman"/>
          <w:b/>
          <w:color w:val="auto"/>
          <w:spacing w:val="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第七章</w:t>
      </w:r>
      <w:r>
        <w:rPr>
          <w:rFonts w:ascii="Times New Roman" w:hAnsi="Times New Roman" w:eastAsia="Times New Roman" w:cs="Times New Roman"/>
          <w:b/>
          <w:color w:val="auto"/>
          <w:spacing w:val="0"/>
          <w:position w:val="0"/>
          <w:sz w:val="28"/>
          <w:highlight w:val="none"/>
          <w:shd w:val="clear" w:fill="auto"/>
        </w:rPr>
        <w:t xml:space="preserve">  </w:t>
      </w:r>
      <w:r>
        <w:rPr>
          <w:rFonts w:ascii="宋体" w:hAnsi="宋体" w:eastAsia="宋体" w:cs="宋体"/>
          <w:b/>
          <w:color w:val="auto"/>
          <w:spacing w:val="0"/>
          <w:position w:val="0"/>
          <w:sz w:val="28"/>
          <w:highlight w:val="none"/>
          <w:shd w:val="clear" w:fill="auto"/>
        </w:rPr>
        <w:t>相关指标</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第四十七条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综合医院建设项目的工程造价或投资估算，应按照国家现行有关规定编制。在评估或审批可行性研究报告时，业务用房的工程造价，可参照建设地区相同建筑等级标准和结构形式新建普通办公楼单方造价的</w:t>
      </w:r>
      <w:r>
        <w:rPr>
          <w:rFonts w:ascii="Times New Roman" w:hAnsi="Times New Roman" w:eastAsia="Times New Roman" w:cs="Times New Roman"/>
          <w:color w:val="auto"/>
          <w:spacing w:val="0"/>
          <w:position w:val="0"/>
          <w:sz w:val="24"/>
          <w:highlight w:val="none"/>
          <w:shd w:val="clear" w:fill="auto"/>
        </w:rPr>
        <w:t>1.5-2</w:t>
      </w:r>
      <w:r>
        <w:rPr>
          <w:rFonts w:ascii="宋体" w:hAnsi="宋体" w:eastAsia="宋体" w:cs="宋体"/>
          <w:color w:val="auto"/>
          <w:spacing w:val="0"/>
          <w:position w:val="0"/>
          <w:sz w:val="24"/>
          <w:highlight w:val="none"/>
          <w:shd w:val="clear" w:fill="auto"/>
        </w:rPr>
        <w:t>倍确定。有特殊功能要求的建筑物，其建筑工程造价可按照实际情况适当提高。</w:t>
      </w:r>
    </w:p>
    <w:p>
      <w:pPr>
        <w:spacing w:before="156" w:after="0" w:line="360" w:lineRule="auto"/>
        <w:ind w:left="0" w:right="0" w:firstLine="0"/>
        <w:jc w:val="both"/>
        <w:rPr>
          <w:rFonts w:ascii="Times New Roman" w:hAnsi="Times New Roman" w:eastAsia="Times New Roman" w:cs="Times New Roman"/>
          <w:color w:val="000000"/>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第四十八条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综合医院的人员</w:t>
      </w:r>
      <w:r>
        <w:rPr>
          <w:rFonts w:ascii="宋体" w:hAnsi="宋体" w:eastAsia="宋体" w:cs="宋体"/>
          <w:color w:val="000000"/>
          <w:spacing w:val="0"/>
          <w:position w:val="0"/>
          <w:sz w:val="24"/>
          <w:highlight w:val="none"/>
          <w:shd w:val="clear" w:fill="auto"/>
        </w:rPr>
        <w:t>编制，应按有关编制规定并结合医院的实际需要确定。</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b/>
          <w:color w:val="auto"/>
          <w:spacing w:val="0"/>
          <w:position w:val="0"/>
          <w:sz w:val="24"/>
          <w:highlight w:val="none"/>
          <w:shd w:val="clear" w:fill="auto"/>
        </w:rPr>
        <w:t>第四十九条</w:t>
      </w:r>
      <w:r>
        <w:rPr>
          <w:rFonts w:ascii="Times New Roman" w:hAnsi="Times New Roman" w:eastAsia="Times New Roman" w:cs="Times New Roman"/>
          <w:b/>
          <w:color w:val="auto"/>
          <w:spacing w:val="0"/>
          <w:position w:val="0"/>
          <w:sz w:val="24"/>
          <w:highlight w:val="none"/>
          <w:shd w:val="clear" w:fill="auto"/>
        </w:rPr>
        <w:t xml:space="preserve">  </w:t>
      </w:r>
      <w:r>
        <w:rPr>
          <w:rFonts w:ascii="宋体" w:hAnsi="宋体" w:eastAsia="宋体" w:cs="宋体"/>
          <w:color w:val="auto"/>
          <w:spacing w:val="0"/>
          <w:position w:val="0"/>
          <w:sz w:val="24"/>
          <w:highlight w:val="none"/>
          <w:shd w:val="clear" w:fill="auto"/>
        </w:rPr>
        <w:t>综合医院的经济评价与后评估，应按国家现行的建设项目经济评价与后评估的方法与参数的规定执行。</w:t>
      </w: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0" w:after="0" w:line="240" w:lineRule="auto"/>
        <w:ind w:left="0" w:right="0" w:firstLine="0"/>
        <w:jc w:val="left"/>
        <w:rPr>
          <w:rFonts w:ascii="Times New Roman" w:hAnsi="Times New Roman" w:eastAsia="Times New Roman" w:cs="Times New Roman"/>
          <w:b/>
          <w:color w:val="auto"/>
          <w:spacing w:val="80"/>
          <w:position w:val="0"/>
          <w:sz w:val="28"/>
          <w:highlight w:val="none"/>
          <w:shd w:val="clear" w:fill="auto"/>
        </w:rPr>
      </w:pPr>
    </w:p>
    <w:p>
      <w:pPr>
        <w:spacing w:before="312" w:after="312" w:line="300" w:lineRule="auto"/>
        <w:ind w:left="0" w:right="0" w:firstLine="0"/>
        <w:jc w:val="center"/>
        <w:rPr>
          <w:rFonts w:ascii="Times New Roman" w:hAnsi="Times New Roman" w:eastAsia="Times New Roman" w:cs="Times New Roman"/>
          <w:b/>
          <w:color w:val="auto"/>
          <w:spacing w:val="0"/>
          <w:position w:val="0"/>
          <w:sz w:val="28"/>
          <w:highlight w:val="none"/>
          <w:shd w:val="clear" w:fill="auto"/>
        </w:rPr>
      </w:pPr>
      <w:r>
        <w:rPr>
          <w:rFonts w:ascii="宋体" w:hAnsi="宋体" w:eastAsia="宋体" w:cs="宋体"/>
          <w:b/>
          <w:color w:val="auto"/>
          <w:spacing w:val="0"/>
          <w:position w:val="0"/>
          <w:sz w:val="28"/>
          <w:highlight w:val="none"/>
          <w:shd w:val="clear" w:fill="auto"/>
        </w:rPr>
        <w:t>本建设标准用词和用语说明</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1</w:t>
      </w:r>
      <w:r>
        <w:rPr>
          <w:rFonts w:ascii="宋体" w:hAnsi="宋体" w:eastAsia="宋体" w:cs="宋体"/>
          <w:color w:val="auto"/>
          <w:spacing w:val="0"/>
          <w:position w:val="0"/>
          <w:sz w:val="24"/>
          <w:highlight w:val="none"/>
          <w:shd w:val="clear" w:fill="auto"/>
        </w:rPr>
        <w:t>、为便于在执行本建设标准条文时区别对待，对要求严格程度不同的用词说明如下：</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1</w:t>
      </w:r>
      <w:r>
        <w:rPr>
          <w:rFonts w:ascii="宋体" w:hAnsi="宋体" w:eastAsia="宋体" w:cs="宋体"/>
          <w:color w:val="auto"/>
          <w:spacing w:val="0"/>
          <w:position w:val="0"/>
          <w:sz w:val="24"/>
          <w:highlight w:val="none"/>
          <w:shd w:val="clear" w:fill="auto"/>
        </w:rPr>
        <w:t>）表示很严格，非这样做不可的用词：</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正面词采用“必须”，反面词采用“严禁”。</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2</w:t>
      </w:r>
      <w:r>
        <w:rPr>
          <w:rFonts w:ascii="宋体" w:hAnsi="宋体" w:eastAsia="宋体" w:cs="宋体"/>
          <w:color w:val="auto"/>
          <w:spacing w:val="0"/>
          <w:position w:val="0"/>
          <w:sz w:val="24"/>
          <w:highlight w:val="none"/>
          <w:shd w:val="clear" w:fill="auto"/>
        </w:rPr>
        <w:t>）表示严格，在正常情况均应这样做的用词：</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正面词采用“应”，反面词采用“不应”或“不得”。</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3</w:t>
      </w:r>
      <w:r>
        <w:rPr>
          <w:rFonts w:ascii="宋体" w:hAnsi="宋体" w:eastAsia="宋体" w:cs="宋体"/>
          <w:color w:val="auto"/>
          <w:spacing w:val="0"/>
          <w:position w:val="0"/>
          <w:sz w:val="24"/>
          <w:highlight w:val="none"/>
          <w:shd w:val="clear" w:fill="auto"/>
        </w:rPr>
        <w:t>）表示允许稍有选择，在条件许可时首先应这样做的用词：</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宋体" w:hAnsi="宋体" w:eastAsia="宋体" w:cs="宋体"/>
          <w:color w:val="auto"/>
          <w:spacing w:val="0"/>
          <w:position w:val="0"/>
          <w:sz w:val="24"/>
          <w:highlight w:val="none"/>
          <w:shd w:val="clear" w:fill="auto"/>
        </w:rPr>
        <w:t>正面词采用“宜”，反面词采用“不宜”；</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4</w:t>
      </w:r>
      <w:r>
        <w:rPr>
          <w:rFonts w:ascii="宋体" w:hAnsi="宋体" w:eastAsia="宋体" w:cs="宋体"/>
          <w:color w:val="auto"/>
          <w:spacing w:val="0"/>
          <w:position w:val="0"/>
          <w:sz w:val="24"/>
          <w:highlight w:val="none"/>
          <w:shd w:val="clear" w:fill="auto"/>
        </w:rPr>
        <w:t>）表示有选择，在一定条件下可以这样做的，采用“可”。</w:t>
      </w:r>
    </w:p>
    <w:p>
      <w:pPr>
        <w:spacing w:before="156" w:after="0" w:line="360" w:lineRule="auto"/>
        <w:ind w:left="0" w:right="0" w:firstLine="0"/>
        <w:jc w:val="both"/>
        <w:rPr>
          <w:rFonts w:ascii="Times New Roman" w:hAnsi="Times New Roman" w:eastAsia="Times New Roman" w:cs="Times New Roman"/>
          <w:color w:val="auto"/>
          <w:spacing w:val="0"/>
          <w:position w:val="0"/>
          <w:sz w:val="24"/>
          <w:highlight w:val="none"/>
          <w:shd w:val="clear" w:fill="auto"/>
        </w:rPr>
      </w:pPr>
      <w:r>
        <w:rPr>
          <w:rFonts w:ascii="Times New Roman" w:hAnsi="Times New Roman" w:eastAsia="Times New Roman" w:cs="Times New Roman"/>
          <w:color w:val="auto"/>
          <w:spacing w:val="0"/>
          <w:position w:val="0"/>
          <w:sz w:val="24"/>
          <w:highlight w:val="none"/>
          <w:shd w:val="clear" w:fill="auto"/>
        </w:rPr>
        <w:t>2</w:t>
      </w:r>
      <w:r>
        <w:rPr>
          <w:rFonts w:ascii="宋体" w:hAnsi="宋体" w:eastAsia="宋体" w:cs="宋体"/>
          <w:color w:val="auto"/>
          <w:spacing w:val="0"/>
          <w:position w:val="0"/>
          <w:sz w:val="24"/>
          <w:highlight w:val="none"/>
          <w:shd w:val="clear" w:fill="auto"/>
        </w:rPr>
        <w:t>、本建设标准中指明应按其他有关标准、规范执行的写法为“应符合……的有关规定”或“应按照……执行”。</w:t>
      </w:r>
    </w:p>
    <w:p>
      <w:pPr>
        <w:spacing w:before="156" w:after="0" w:line="360" w:lineRule="auto"/>
        <w:ind w:left="0" w:right="0" w:firstLine="0"/>
        <w:jc w:val="both"/>
        <w:rPr>
          <w:rFonts w:ascii="Times New Roman" w:hAnsi="Times New Roman" w:eastAsia="Times New Roman" w:cs="Times New Roman"/>
          <w:b/>
          <w:color w:val="auto"/>
          <w:spacing w:val="0"/>
          <w:position w:val="0"/>
          <w:sz w:val="32"/>
          <w:highlight w:val="none"/>
          <w:shd w:val="clear" w:fill="auto"/>
        </w:rPr>
      </w:pP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color w:val="auto"/>
          <w:spacing w:val="0"/>
          <w:position w:val="0"/>
          <w:sz w:val="28"/>
          <w:highlight w:val="none"/>
          <w:shd w:val="clear" w:fill="auto"/>
        </w:rPr>
        <w:tab/>
      </w:r>
      <w:r>
        <w:rPr>
          <w:rFonts w:ascii="Times New Roman" w:hAnsi="Times New Roman" w:eastAsia="Times New Roman" w:cs="Times New Roman"/>
          <w:b/>
          <w:color w:val="auto"/>
          <w:spacing w:val="0"/>
          <w:position w:val="0"/>
          <w:sz w:val="32"/>
          <w:highlight w:val="none"/>
          <w:shd w:val="clear" w:fill="auto"/>
        </w:rPr>
        <w:t xml:space="preserve"> </w:t>
      </w:r>
    </w:p>
    <w:p>
      <w:pPr>
        <w:spacing w:before="156" w:after="0" w:line="360" w:lineRule="auto"/>
        <w:ind w:left="0" w:right="0" w:firstLine="0"/>
        <w:jc w:val="both"/>
        <w:rPr>
          <w:rFonts w:ascii="Times New Roman" w:hAnsi="Times New Roman" w:eastAsia="Times New Roman" w:cs="Times New Roman"/>
          <w:color w:val="auto"/>
          <w:spacing w:val="0"/>
          <w:position w:val="0"/>
          <w:sz w:val="32"/>
          <w:highlight w:val="none"/>
          <w:shd w:val="clear" w:fill="auto"/>
        </w:rPr>
      </w:pPr>
      <w:r>
        <w:rPr>
          <w:rFonts w:ascii="Times New Roman" w:hAnsi="Times New Roman" w:eastAsia="Times New Roman" w:cs="Times New Roman"/>
          <w:color w:val="auto"/>
          <w:spacing w:val="0"/>
          <w:position w:val="0"/>
          <w:sz w:val="32"/>
          <w:highlight w:val="none"/>
          <w:shd w:val="clear" w:fill="auto"/>
        </w:rPr>
        <w:t xml:space="preserve"> </w:t>
      </w:r>
    </w:p>
    <w:p>
      <w:pPr>
        <w:spacing w:before="156" w:after="0" w:line="360" w:lineRule="auto"/>
        <w:ind w:left="0" w:right="0" w:firstLine="0"/>
        <w:jc w:val="both"/>
        <w:rPr>
          <w:rFonts w:ascii="Times New Roman" w:hAnsi="Times New Roman" w:eastAsia="Times New Roman" w:cs="Times New Roman"/>
          <w:color w:val="auto"/>
          <w:spacing w:val="0"/>
          <w:position w:val="0"/>
          <w:sz w:val="28"/>
          <w:highlight w:val="none"/>
          <w:shd w:val="clear" w:fill="auto"/>
        </w:rPr>
      </w:pPr>
      <w:r>
        <w:rPr>
          <w:rFonts w:ascii="Times New Roman" w:hAnsi="Times New Roman" w:eastAsia="Times New Roman" w:cs="Times New Roman"/>
          <w:color w:val="auto"/>
          <w:spacing w:val="0"/>
          <w:position w:val="0"/>
          <w:sz w:val="28"/>
          <w:highlight w:val="none"/>
          <w:shd w:val="clear" w:fill="auto"/>
        </w:rPr>
        <w:t xml:space="preserve"> </w:t>
      </w:r>
    </w:p>
    <w:p>
      <w:pPr>
        <w:spacing w:before="156" w:after="0" w:line="360" w:lineRule="auto"/>
        <w:ind w:left="0" w:right="0" w:firstLine="0"/>
        <w:jc w:val="both"/>
        <w:rPr>
          <w:rFonts w:ascii="Times New Roman" w:hAnsi="Times New Roman" w:eastAsia="Times New Roman" w:cs="Times New Roman"/>
          <w:color w:val="auto"/>
          <w:spacing w:val="0"/>
          <w:position w:val="0"/>
          <w:sz w:val="32"/>
          <w:highlight w:val="none"/>
          <w:shd w:val="clear" w:fill="auto"/>
        </w:rPr>
      </w:pPr>
      <w:r>
        <w:rPr>
          <w:rFonts w:ascii="Times New Roman" w:hAnsi="Times New Roman" w:eastAsia="Times New Roman" w:cs="Times New Roman"/>
          <w:color w:val="auto"/>
          <w:spacing w:val="0"/>
          <w:position w:val="0"/>
          <w:sz w:val="32"/>
          <w:highlight w:val="none"/>
          <w:shd w:val="clear" w:fill="auto"/>
        </w:rPr>
        <w:t xml:space="preserve"> </w:t>
      </w:r>
    </w:p>
    <w:p>
      <w:pPr>
        <w:spacing w:before="156" w:after="0" w:line="360" w:lineRule="auto"/>
        <w:ind w:left="0" w:right="0" w:firstLine="0"/>
        <w:jc w:val="both"/>
        <w:rPr>
          <w:rFonts w:ascii="Times New Roman" w:hAnsi="Times New Roman" w:eastAsia="Times New Roman" w:cs="Times New Roman"/>
          <w:color w:val="auto"/>
          <w:spacing w:val="0"/>
          <w:position w:val="0"/>
          <w:sz w:val="32"/>
          <w:highlight w:val="none"/>
          <w:shd w:val="clear" w:fill="auto"/>
        </w:rPr>
      </w:pPr>
      <w:r>
        <w:rPr>
          <w:rFonts w:ascii="Times New Roman" w:hAnsi="Times New Roman" w:eastAsia="Times New Roman" w:cs="Times New Roman"/>
          <w:color w:val="auto"/>
          <w:spacing w:val="0"/>
          <w:position w:val="0"/>
          <w:sz w:val="32"/>
          <w:highlight w:val="none"/>
          <w:shd w:val="clear" w:fill="auto"/>
        </w:rPr>
        <w:t xml:space="preserve"> </w:t>
      </w:r>
    </w:p>
    <w:p>
      <w:pPr>
        <w:spacing w:before="156" w:after="0" w:line="360" w:lineRule="auto"/>
        <w:ind w:left="0" w:right="0" w:firstLine="0"/>
        <w:jc w:val="both"/>
        <w:rPr>
          <w:rFonts w:ascii="Times New Roman" w:hAnsi="Times New Roman" w:eastAsia="Times New Roman" w:cs="Times New Roman"/>
          <w:color w:val="auto"/>
          <w:spacing w:val="0"/>
          <w:position w:val="0"/>
          <w:sz w:val="32"/>
          <w:highlight w:val="none"/>
          <w:shd w:val="clear" w:fill="auto"/>
        </w:rPr>
      </w:pPr>
      <w:r>
        <w:rPr>
          <w:rFonts w:ascii="Times New Roman" w:hAnsi="Times New Roman" w:eastAsia="Times New Roman" w:cs="Times New Roman"/>
          <w:color w:val="auto"/>
          <w:spacing w:val="0"/>
          <w:position w:val="0"/>
          <w:sz w:val="32"/>
          <w:highlight w:val="none"/>
          <w:shd w:val="clear" w:fill="auto"/>
        </w:rPr>
        <w:t xml:space="preserve"> </w:t>
      </w:r>
    </w:p>
    <w:p>
      <w:pPr>
        <w:spacing w:before="156" w:after="0" w:line="300" w:lineRule="auto"/>
        <w:ind w:left="0" w:right="0" w:firstLine="0"/>
        <w:jc w:val="both"/>
        <w:rPr>
          <w:rFonts w:ascii="Times New Roman" w:hAnsi="Times New Roman" w:eastAsia="Times New Roman" w:cs="Times New Roman"/>
          <w:color w:val="auto"/>
          <w:spacing w:val="0"/>
          <w:position w:val="0"/>
          <w:sz w:val="24"/>
          <w:highlight w:val="none"/>
          <w:shd w:val="clear" w:fill="auto"/>
        </w:rPr>
      </w:pP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compat>
    <w:useFELayout/>
    <w:compatSetting w:name="compatibilityMode" w:uri="http://schemas.microsoft.com/office/word" w:val="12"/>
  </w:compat>
  <w:rsids>
    <w:rsidRoot w:val="00000000"/>
    <w:rsid w:val="0319397D"/>
    <w:rsid w:val="07960E37"/>
    <w:rsid w:val="0D7B6E8E"/>
    <w:rsid w:val="0E0441F7"/>
    <w:rsid w:val="167334C3"/>
    <w:rsid w:val="27C97CD5"/>
    <w:rsid w:val="2F372CBE"/>
    <w:rsid w:val="306B300B"/>
    <w:rsid w:val="43F84870"/>
    <w:rsid w:val="4D0537CC"/>
    <w:rsid w:val="4E491BFF"/>
    <w:rsid w:val="7C8336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2018-10-08T04:20:00Z</dcterms:created>
  <dc:creator>曲怡然</dc:creator>
  <cp:lastModifiedBy>a</cp:lastModifiedBy>
  <dcterms:modified xsi:type="dcterms:W3CDTF">2018-10-08T08:20:10Z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